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9B" w:rsidRDefault="0027053F" w:rsidP="00517D9B">
      <w:pPr>
        <w:rPr>
          <w:lang w:val="nl-BE"/>
        </w:rPr>
      </w:pPr>
      <w:bookmarkStart w:id="0" w:name="_GoBack"/>
      <w:bookmarkEnd w:id="0"/>
      <w:r>
        <w:rPr>
          <w:noProof/>
          <w:lang w:val="nl-BE" w:eastAsia="nl-BE" w:bidi="ar-SA"/>
        </w:rPr>
        <w:drawing>
          <wp:inline distT="0" distB="0" distL="0" distR="0">
            <wp:extent cx="2948940" cy="747395"/>
            <wp:effectExtent l="0" t="0" r="3810" b="0"/>
            <wp:docPr id="6" name="Afbeelding 6"/>
            <wp:cNvGraphicFramePr/>
            <a:graphic xmlns:a="http://schemas.openxmlformats.org/drawingml/2006/main">
              <a:graphicData uri="http://schemas.openxmlformats.org/drawingml/2006/picture">
                <pic:pic xmlns:pic="http://schemas.openxmlformats.org/drawingml/2006/picture">
                  <pic:nvPicPr>
                    <pic:cNvPr id="1124336981" name="Afbeelding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8940" cy="747395"/>
                    </a:xfrm>
                    <a:prstGeom prst="rect">
                      <a:avLst/>
                    </a:prstGeom>
                  </pic:spPr>
                </pic:pic>
              </a:graphicData>
            </a:graphic>
          </wp:inline>
        </w:drawing>
      </w:r>
    </w:p>
    <w:p w:rsidR="00EE4EAC" w:rsidRPr="00C83428" w:rsidRDefault="0027053F" w:rsidP="00517D9B">
      <w:pPr>
        <w:pStyle w:val="Kop1"/>
        <w:jc w:val="center"/>
        <w:rPr>
          <w:color w:val="auto"/>
          <w:sz w:val="26"/>
          <w:szCs w:val="26"/>
          <w:lang w:val="nl-BE"/>
        </w:rPr>
      </w:pPr>
      <w:r w:rsidRPr="00C83428">
        <w:rPr>
          <w:color w:val="auto"/>
          <w:sz w:val="26"/>
          <w:szCs w:val="26"/>
          <w:lang w:val="nl-BE"/>
        </w:rPr>
        <w:t xml:space="preserve">Uittreksel uit de notulen van </w:t>
      </w:r>
      <w:r w:rsidR="00B720F0" w:rsidRPr="00C83428">
        <w:rPr>
          <w:color w:val="auto"/>
          <w:sz w:val="26"/>
          <w:szCs w:val="26"/>
          <w:lang w:val="nl-BE"/>
        </w:rPr>
        <w:t xml:space="preserve">de </w:t>
      </w:r>
      <w:r w:rsidR="00445809" w:rsidRPr="00C83428">
        <w:rPr>
          <w:color w:val="auto"/>
          <w:sz w:val="26"/>
          <w:szCs w:val="26"/>
          <w:lang w:val="nl-BE"/>
        </w:rPr>
        <w:t>GEMEENTERAAD</w:t>
      </w:r>
      <w:r w:rsidR="00B720F0" w:rsidRPr="00C83428">
        <w:rPr>
          <w:color w:val="auto"/>
          <w:sz w:val="26"/>
          <w:szCs w:val="26"/>
          <w:lang w:val="nl-BE"/>
        </w:rPr>
        <w:t xml:space="preserve"> van </w:t>
      </w:r>
      <w:r w:rsidRPr="00C83428">
        <w:rPr>
          <w:color w:val="auto"/>
          <w:sz w:val="26"/>
          <w:szCs w:val="26"/>
          <w:lang w:val="nl-BE"/>
        </w:rPr>
        <w:t>16 december 2019</w:t>
      </w:r>
    </w:p>
    <w:p w:rsidR="00EE4EAC" w:rsidRPr="00C83428" w:rsidRDefault="00EE4EAC" w:rsidP="00EE4EAC">
      <w:pPr>
        <w:rPr>
          <w:sz w:val="20"/>
          <w:szCs w:val="20"/>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556"/>
      </w:tblGrid>
      <w:tr w:rsidR="00592A51" w:rsidTr="00743EA2">
        <w:tc>
          <w:tcPr>
            <w:tcW w:w="2093" w:type="dxa"/>
          </w:tcPr>
          <w:p w:rsidR="00EE4EAC" w:rsidRPr="00C83428" w:rsidRDefault="0027053F" w:rsidP="00743EA2">
            <w:pPr>
              <w:rPr>
                <w:sz w:val="20"/>
                <w:szCs w:val="20"/>
                <w:lang w:val="nl-BE"/>
              </w:rPr>
            </w:pPr>
            <w:r w:rsidRPr="00C83428">
              <w:rPr>
                <w:sz w:val="20"/>
                <w:szCs w:val="20"/>
                <w:lang w:val="nl-BE"/>
              </w:rPr>
              <w:t>Aanwezig:</w:t>
            </w:r>
          </w:p>
        </w:tc>
        <w:tc>
          <w:tcPr>
            <w:tcW w:w="7686" w:type="dxa"/>
          </w:tcPr>
          <w:p w:rsidR="00EE4EAC" w:rsidRPr="00C83428" w:rsidRDefault="0027053F" w:rsidP="00743EA2">
            <w:pPr>
              <w:rPr>
                <w:sz w:val="20"/>
                <w:szCs w:val="20"/>
                <w:lang w:val="nl-BE"/>
              </w:rPr>
            </w:pPr>
            <w:r w:rsidRPr="00C83428">
              <w:rPr>
                <w:sz w:val="20"/>
                <w:szCs w:val="20"/>
                <w:lang w:val="nl-BE"/>
              </w:rPr>
              <w:t>Marc Doutreluingne, burgemeester;</w:t>
            </w:r>
            <w:r w:rsidRPr="00C83428">
              <w:rPr>
                <w:sz w:val="20"/>
                <w:szCs w:val="20"/>
                <w:lang w:val="nl-BE"/>
              </w:rPr>
              <w:br/>
              <w:t>Eliane Spincemaille, Isabelle Degezelle, Kristof Vromant, Raf Deprez, Marc Desloovere, Marc Claeys, schepenen;</w:t>
            </w:r>
            <w:r w:rsidRPr="00C83428">
              <w:rPr>
                <w:sz w:val="20"/>
                <w:szCs w:val="20"/>
                <w:lang w:val="nl-BE"/>
              </w:rPr>
              <w:br/>
              <w:t>Dirk Desmet, voorzitter;</w:t>
            </w:r>
            <w:r w:rsidRPr="00C83428">
              <w:rPr>
                <w:sz w:val="20"/>
                <w:szCs w:val="20"/>
                <w:lang w:val="nl-BE"/>
              </w:rPr>
              <w:br/>
              <w:t>Ann Cosaert, Bart Colson, Brigitte Desmet, Barbara Demeulenaere, Yvan Nys, Carol Bostyn, Stefanie Vanden Bossche, Geert Delaey, Isabelle Dewitte, Yves De Bosscher, Eddy Loosveldt, Brecht Demeire, Antoon Vanassche, Wim Monteyne, Katrien Defoirdt, Eddy Defoor, Sofie Vermeulen, Johan Rollez, raadsleden;</w:t>
            </w:r>
            <w:r w:rsidRPr="00C83428">
              <w:rPr>
                <w:sz w:val="20"/>
                <w:szCs w:val="20"/>
                <w:lang w:val="nl-BE"/>
              </w:rPr>
              <w:br/>
              <w:t>Jan Vanlangenhove, algemeen directeur</w:t>
            </w:r>
          </w:p>
        </w:tc>
      </w:tr>
      <w:tr w:rsidR="00592A51" w:rsidTr="00445809">
        <w:tc>
          <w:tcPr>
            <w:tcW w:w="2093" w:type="dxa"/>
          </w:tcPr>
          <w:p w:rsidR="00EE4EAC" w:rsidRPr="00C83428" w:rsidRDefault="0027053F" w:rsidP="00743EA2">
            <w:pPr>
              <w:rPr>
                <w:sz w:val="20"/>
                <w:szCs w:val="20"/>
                <w:lang w:val="nl-BE"/>
              </w:rPr>
            </w:pPr>
            <w:r w:rsidRPr="00C83428">
              <w:rPr>
                <w:sz w:val="20"/>
                <w:szCs w:val="20"/>
                <w:lang w:val="nl-BE"/>
              </w:rPr>
              <w:t>Verontschuldigd:</w:t>
            </w:r>
          </w:p>
        </w:tc>
        <w:tc>
          <w:tcPr>
            <w:tcW w:w="7686" w:type="dxa"/>
          </w:tcPr>
          <w:p w:rsidR="00EE4EAC" w:rsidRPr="00C83428" w:rsidRDefault="0027053F" w:rsidP="00743EA2">
            <w:pPr>
              <w:rPr>
                <w:sz w:val="20"/>
                <w:szCs w:val="20"/>
                <w:lang w:val="nl-BE"/>
              </w:rPr>
            </w:pPr>
            <w:r w:rsidRPr="00C83428">
              <w:rPr>
                <w:sz w:val="20"/>
                <w:szCs w:val="20"/>
                <w:lang w:val="nl-BE"/>
              </w:rPr>
              <w:t>Nele Vroman, raadslid</w:t>
            </w:r>
          </w:p>
        </w:tc>
      </w:tr>
      <w:tr w:rsidR="00592A51" w:rsidTr="00445809">
        <w:tc>
          <w:tcPr>
            <w:tcW w:w="2093" w:type="dxa"/>
            <w:tcBorders>
              <w:bottom w:val="single" w:sz="4" w:space="0" w:color="auto"/>
            </w:tcBorders>
          </w:tcPr>
          <w:p w:rsidR="00B720F0" w:rsidRPr="00C83428" w:rsidRDefault="00B720F0" w:rsidP="00743EA2">
            <w:pPr>
              <w:rPr>
                <w:sz w:val="20"/>
                <w:szCs w:val="20"/>
                <w:lang w:val="nl-BE"/>
              </w:rPr>
            </w:pPr>
          </w:p>
        </w:tc>
        <w:tc>
          <w:tcPr>
            <w:tcW w:w="7686" w:type="dxa"/>
            <w:tcBorders>
              <w:bottom w:val="single" w:sz="4" w:space="0" w:color="auto"/>
            </w:tcBorders>
          </w:tcPr>
          <w:p w:rsidR="00B720F0" w:rsidRPr="00C83428" w:rsidRDefault="00B720F0" w:rsidP="00743EA2">
            <w:pPr>
              <w:rPr>
                <w:sz w:val="20"/>
                <w:szCs w:val="20"/>
                <w:lang w:val="nl-BE"/>
              </w:rPr>
            </w:pPr>
          </w:p>
        </w:tc>
      </w:tr>
      <w:tr w:rsidR="00592A51" w:rsidTr="00445809">
        <w:tc>
          <w:tcPr>
            <w:tcW w:w="2093" w:type="dxa"/>
            <w:tcBorders>
              <w:top w:val="single" w:sz="4" w:space="0" w:color="auto"/>
            </w:tcBorders>
          </w:tcPr>
          <w:p w:rsidR="00445809" w:rsidRPr="00C83428" w:rsidRDefault="00445809" w:rsidP="00743EA2">
            <w:pPr>
              <w:rPr>
                <w:sz w:val="20"/>
                <w:szCs w:val="20"/>
                <w:lang w:val="nl-BE"/>
              </w:rPr>
            </w:pPr>
          </w:p>
        </w:tc>
        <w:tc>
          <w:tcPr>
            <w:tcW w:w="7686" w:type="dxa"/>
            <w:tcBorders>
              <w:top w:val="single" w:sz="4" w:space="0" w:color="auto"/>
            </w:tcBorders>
          </w:tcPr>
          <w:p w:rsidR="00445809" w:rsidRPr="00C83428" w:rsidRDefault="00445809" w:rsidP="00743EA2">
            <w:pPr>
              <w:rPr>
                <w:sz w:val="20"/>
                <w:szCs w:val="20"/>
                <w:lang w:val="nl-BE"/>
              </w:rPr>
            </w:pPr>
          </w:p>
        </w:tc>
      </w:tr>
      <w:tr w:rsidR="00592A51" w:rsidTr="00445809">
        <w:tc>
          <w:tcPr>
            <w:tcW w:w="2093" w:type="dxa"/>
          </w:tcPr>
          <w:p w:rsidR="00445809" w:rsidRPr="00C83428" w:rsidRDefault="0027053F" w:rsidP="00743EA2">
            <w:pPr>
              <w:rPr>
                <w:sz w:val="20"/>
                <w:szCs w:val="20"/>
                <w:lang w:val="nl-BE"/>
              </w:rPr>
            </w:pPr>
            <w:r w:rsidRPr="00C83428">
              <w:rPr>
                <w:sz w:val="20"/>
                <w:szCs w:val="20"/>
                <w:u w:val="single"/>
                <w:lang w:val="nl-BE"/>
              </w:rPr>
              <w:t>Onderwerp</w:t>
            </w:r>
            <w:r w:rsidRPr="00C83428">
              <w:rPr>
                <w:sz w:val="20"/>
                <w:szCs w:val="20"/>
                <w:lang w:val="nl-BE"/>
              </w:rPr>
              <w:t>:</w:t>
            </w:r>
          </w:p>
        </w:tc>
        <w:tc>
          <w:tcPr>
            <w:tcW w:w="7686" w:type="dxa"/>
          </w:tcPr>
          <w:p w:rsidR="00445809" w:rsidRPr="00C83428" w:rsidRDefault="0027053F" w:rsidP="00980A94">
            <w:pPr>
              <w:spacing w:after="240"/>
              <w:rPr>
                <w:b/>
                <w:sz w:val="20"/>
                <w:szCs w:val="20"/>
                <w:lang w:val="nl-BE"/>
              </w:rPr>
            </w:pPr>
            <w:r w:rsidRPr="00C83428">
              <w:rPr>
                <w:b/>
                <w:sz w:val="20"/>
                <w:szCs w:val="20"/>
                <w:lang w:val="nl-BE"/>
              </w:rPr>
              <w:t>Gemeentelijke belasting op tweede verblijven. - Aanslagjaar 2020 t.e.m. 2025.</w:t>
            </w:r>
          </w:p>
        </w:tc>
      </w:tr>
    </w:tbl>
    <w:p w:rsidR="00592A51" w:rsidRDefault="00592A51">
      <w:pPr>
        <w:sectPr w:rsidR="00592A51" w:rsidSect="005861D4">
          <w:pgSz w:w="11906" w:h="16838"/>
          <w:pgMar w:top="1134" w:right="1133" w:bottom="1276" w:left="1134" w:header="708" w:footer="708" w:gutter="0"/>
          <w:cols w:space="708"/>
          <w:docGrid w:linePitch="360"/>
        </w:sectPr>
      </w:pPr>
    </w:p>
    <w:p w:rsidR="00987FBD" w:rsidRPr="00987FBD" w:rsidRDefault="0027053F" w:rsidP="00987FBD">
      <w:pPr>
        <w:jc w:val="both"/>
        <w:rPr>
          <w:rFonts w:ascii="Tahoma" w:eastAsia="Tahoma" w:hAnsi="Tahoma" w:cs="Tahoma"/>
          <w:b/>
          <w:sz w:val="20"/>
          <w:szCs w:val="20"/>
          <w:lang w:val="nl-BE"/>
        </w:rPr>
      </w:pPr>
      <w:r w:rsidRPr="00987FBD">
        <w:rPr>
          <w:rFonts w:ascii="Tahoma" w:eastAsia="Tahoma" w:hAnsi="Tahoma" w:cs="Tahoma"/>
          <w:b/>
          <w:sz w:val="20"/>
          <w:szCs w:val="20"/>
          <w:lang w:val="nl-BE"/>
        </w:rPr>
        <w:t>Bevoegdheid</w:t>
      </w:r>
    </w:p>
    <w:p w:rsidR="00987FBD" w:rsidRPr="00987FBD" w:rsidRDefault="0027053F" w:rsidP="00987FBD">
      <w:pPr>
        <w:ind w:left="142" w:hanging="142"/>
        <w:jc w:val="both"/>
        <w:rPr>
          <w:rFonts w:ascii="Tahoma" w:eastAsia="Tahoma" w:hAnsi="Tahoma" w:cs="Tahoma"/>
          <w:sz w:val="20"/>
          <w:szCs w:val="20"/>
          <w:lang w:val="nl-BE"/>
        </w:rPr>
      </w:pPr>
      <w:r>
        <w:rPr>
          <w:rFonts w:ascii="Tahoma" w:eastAsia="Tahoma" w:hAnsi="Tahoma" w:cs="Tahoma"/>
          <w:sz w:val="20"/>
          <w:szCs w:val="20"/>
          <w:lang w:val="nl-BE"/>
        </w:rPr>
        <w:t xml:space="preserve">- </w:t>
      </w:r>
      <w:r>
        <w:rPr>
          <w:rFonts w:ascii="Tahoma" w:eastAsia="Tahoma" w:hAnsi="Tahoma" w:cs="Tahoma"/>
          <w:sz w:val="20"/>
          <w:szCs w:val="20"/>
          <w:lang w:val="nl-BE"/>
        </w:rPr>
        <w:tab/>
        <w:t>Artikel 40 en artikel 41 Decreet Lokaal Bestuur.</w:t>
      </w:r>
    </w:p>
    <w:p w:rsidR="00987FBD" w:rsidRPr="00987FBD" w:rsidRDefault="0027053F" w:rsidP="00987FBD">
      <w:pPr>
        <w:ind w:left="142" w:hanging="142"/>
        <w:jc w:val="both"/>
        <w:rPr>
          <w:rFonts w:ascii="Tahoma" w:eastAsia="Tahoma" w:hAnsi="Tahoma" w:cs="Tahoma"/>
          <w:sz w:val="20"/>
          <w:szCs w:val="20"/>
          <w:lang w:val="nl-BE"/>
        </w:rPr>
      </w:pPr>
      <w:r>
        <w:rPr>
          <w:rFonts w:ascii="Tahoma" w:eastAsia="Tahoma" w:hAnsi="Tahoma" w:cs="Tahoma"/>
          <w:sz w:val="20"/>
          <w:szCs w:val="20"/>
          <w:lang w:val="nl-BE"/>
        </w:rPr>
        <w:t xml:space="preserve">- </w:t>
      </w:r>
      <w:r>
        <w:rPr>
          <w:rFonts w:ascii="Tahoma" w:eastAsia="Tahoma" w:hAnsi="Tahoma" w:cs="Tahoma"/>
          <w:sz w:val="20"/>
          <w:szCs w:val="20"/>
          <w:lang w:val="nl-BE"/>
        </w:rPr>
        <w:tab/>
        <w:t>Artikel 2</w:t>
      </w:r>
      <w:r w:rsidRPr="00987FBD">
        <w:rPr>
          <w:rFonts w:ascii="Tahoma" w:eastAsia="Tahoma" w:hAnsi="Tahoma" w:cs="Tahoma"/>
          <w:sz w:val="20"/>
          <w:szCs w:val="20"/>
          <w:lang w:val="nl-BE"/>
        </w:rPr>
        <w:t>86</w:t>
      </w:r>
      <w:r>
        <w:rPr>
          <w:rFonts w:ascii="Tahoma" w:eastAsia="Tahoma" w:hAnsi="Tahoma" w:cs="Tahoma"/>
          <w:sz w:val="20"/>
          <w:szCs w:val="20"/>
          <w:lang w:val="nl-BE"/>
        </w:rPr>
        <w:t xml:space="preserve"> Decreet Lokaal Bestuur. </w:t>
      </w:r>
    </w:p>
    <w:p w:rsidR="00987FBD" w:rsidRPr="00987FBD" w:rsidRDefault="0027053F" w:rsidP="00987FBD">
      <w:pPr>
        <w:spacing w:before="120"/>
        <w:jc w:val="both"/>
        <w:rPr>
          <w:rFonts w:ascii="Tahoma" w:eastAsia="Tahoma" w:hAnsi="Tahoma" w:cs="Tahoma"/>
          <w:b/>
          <w:sz w:val="20"/>
          <w:szCs w:val="20"/>
          <w:lang w:val="nl-BE"/>
        </w:rPr>
      </w:pPr>
      <w:r w:rsidRPr="00987FBD">
        <w:rPr>
          <w:rFonts w:ascii="Tahoma" w:eastAsia="Tahoma" w:hAnsi="Tahoma" w:cs="Tahoma"/>
          <w:b/>
          <w:sz w:val="20"/>
          <w:szCs w:val="20"/>
          <w:lang w:val="nl-BE"/>
        </w:rPr>
        <w:t>Juridische grond</w:t>
      </w:r>
    </w:p>
    <w:p w:rsidR="00987FBD" w:rsidRPr="00987FBD" w:rsidRDefault="0027053F" w:rsidP="00987FBD">
      <w:pPr>
        <w:ind w:left="142" w:hanging="142"/>
        <w:jc w:val="both"/>
        <w:rPr>
          <w:rFonts w:ascii="Tahoma" w:eastAsia="Tahoma" w:hAnsi="Tahoma" w:cs="Tahoma"/>
          <w:sz w:val="20"/>
          <w:szCs w:val="20"/>
          <w:lang w:val="nl-BE"/>
        </w:rPr>
      </w:pPr>
      <w:r w:rsidRPr="00987FBD">
        <w:rPr>
          <w:rFonts w:ascii="Tahoma" w:eastAsia="Tahoma" w:hAnsi="Tahoma" w:cs="Tahoma"/>
          <w:sz w:val="20"/>
          <w:szCs w:val="20"/>
          <w:lang w:val="nl-BE"/>
        </w:rPr>
        <w:t xml:space="preserve">- </w:t>
      </w:r>
      <w:r w:rsidRPr="00987FBD">
        <w:rPr>
          <w:rFonts w:ascii="Tahoma" w:eastAsia="Tahoma" w:hAnsi="Tahoma" w:cs="Tahoma"/>
          <w:sz w:val="20"/>
          <w:szCs w:val="20"/>
          <w:lang w:val="nl-BE"/>
        </w:rPr>
        <w:tab/>
        <w:t>Decreet van 30 mei 2008 betreffende de vestiging, de invordering en de geschillenprocedure van provincie- en gemeentebelastingen, gewijzigd bij decreten van 28 mei 2010 en 17 februari 2012.</w:t>
      </w:r>
    </w:p>
    <w:p w:rsidR="00987FBD" w:rsidRPr="00987FBD" w:rsidRDefault="0027053F" w:rsidP="00987FBD">
      <w:pPr>
        <w:ind w:left="142" w:hanging="142"/>
        <w:jc w:val="both"/>
        <w:rPr>
          <w:rFonts w:ascii="Tahoma" w:eastAsia="Tahoma" w:hAnsi="Tahoma" w:cs="Tahoma"/>
          <w:sz w:val="20"/>
          <w:szCs w:val="20"/>
          <w:lang w:val="nl-BE"/>
        </w:rPr>
      </w:pPr>
      <w:r w:rsidRPr="00987FBD">
        <w:rPr>
          <w:rFonts w:ascii="Tahoma" w:eastAsia="Tahoma" w:hAnsi="Tahoma" w:cs="Tahoma"/>
          <w:sz w:val="20"/>
          <w:szCs w:val="20"/>
          <w:lang w:val="nl-BE"/>
        </w:rPr>
        <w:t xml:space="preserve">- </w:t>
      </w:r>
      <w:r w:rsidRPr="00987FBD">
        <w:rPr>
          <w:rFonts w:ascii="Tahoma" w:eastAsia="Tahoma" w:hAnsi="Tahoma" w:cs="Tahoma"/>
          <w:sz w:val="20"/>
          <w:szCs w:val="20"/>
          <w:lang w:val="nl-BE"/>
        </w:rPr>
        <w:tab/>
        <w:t xml:space="preserve">Omzendbrief </w:t>
      </w:r>
      <w:r w:rsidR="001D4131">
        <w:rPr>
          <w:rFonts w:ascii="Tahoma" w:eastAsia="Tahoma" w:hAnsi="Tahoma" w:cs="Tahoma"/>
          <w:sz w:val="20"/>
          <w:szCs w:val="20"/>
          <w:lang w:val="nl-BE"/>
        </w:rPr>
        <w:t>KB/ABB 2019/2 van 15 februari 2019</w:t>
      </w:r>
      <w:r w:rsidRPr="00987FBD">
        <w:rPr>
          <w:rFonts w:ascii="Tahoma" w:eastAsia="Tahoma" w:hAnsi="Tahoma" w:cs="Tahoma"/>
          <w:sz w:val="20"/>
          <w:szCs w:val="20"/>
          <w:lang w:val="nl-BE"/>
        </w:rPr>
        <w:t xml:space="preserve"> betreffende de gemeentefiscaliteit.</w:t>
      </w:r>
    </w:p>
    <w:p w:rsidR="00987FBD" w:rsidRPr="00987FBD" w:rsidRDefault="0027053F" w:rsidP="00987FBD">
      <w:pPr>
        <w:ind w:left="142" w:hanging="142"/>
        <w:jc w:val="both"/>
        <w:rPr>
          <w:rFonts w:ascii="Tahoma" w:eastAsia="Tahoma" w:hAnsi="Tahoma" w:cs="Tahoma"/>
          <w:sz w:val="20"/>
          <w:szCs w:val="20"/>
          <w:lang w:val="nl-BE"/>
        </w:rPr>
      </w:pPr>
      <w:r w:rsidRPr="00987FBD">
        <w:rPr>
          <w:rFonts w:ascii="Tahoma" w:eastAsia="Tahoma" w:hAnsi="Tahoma" w:cs="Tahoma"/>
          <w:sz w:val="20"/>
          <w:szCs w:val="20"/>
          <w:lang w:val="nl-BE"/>
        </w:rPr>
        <w:t xml:space="preserve">- </w:t>
      </w:r>
      <w:r w:rsidRPr="00987FBD">
        <w:rPr>
          <w:rFonts w:ascii="Tahoma" w:eastAsia="Tahoma" w:hAnsi="Tahoma" w:cs="Tahoma"/>
          <w:sz w:val="20"/>
          <w:szCs w:val="20"/>
          <w:lang w:val="nl-BE"/>
        </w:rPr>
        <w:tab/>
        <w:t>Be</w:t>
      </w:r>
      <w:r w:rsidR="004F0595">
        <w:rPr>
          <w:rFonts w:ascii="Tahoma" w:eastAsia="Tahoma" w:hAnsi="Tahoma" w:cs="Tahoma"/>
          <w:sz w:val="20"/>
          <w:szCs w:val="20"/>
          <w:lang w:val="nl-BE"/>
        </w:rPr>
        <w:t>sluit van de gemeenteraad van 19 december 2016</w:t>
      </w:r>
      <w:r w:rsidRPr="00987FBD">
        <w:rPr>
          <w:rFonts w:ascii="Tahoma" w:eastAsia="Tahoma" w:hAnsi="Tahoma" w:cs="Tahoma"/>
          <w:sz w:val="20"/>
          <w:szCs w:val="20"/>
          <w:lang w:val="nl-BE"/>
        </w:rPr>
        <w:t xml:space="preserve"> betreffende “Gemeentelijke belasting op tweed</w:t>
      </w:r>
      <w:r w:rsidR="004F0595">
        <w:rPr>
          <w:rFonts w:ascii="Tahoma" w:eastAsia="Tahoma" w:hAnsi="Tahoma" w:cs="Tahoma"/>
          <w:sz w:val="20"/>
          <w:szCs w:val="20"/>
          <w:lang w:val="nl-BE"/>
        </w:rPr>
        <w:t>e verblijven. - Aanslagjaar 2017 t.e.m. 2019</w:t>
      </w:r>
      <w:r w:rsidRPr="00987FBD">
        <w:rPr>
          <w:rFonts w:ascii="Tahoma" w:eastAsia="Tahoma" w:hAnsi="Tahoma" w:cs="Tahoma"/>
          <w:sz w:val="20"/>
          <w:szCs w:val="20"/>
          <w:lang w:val="nl-BE"/>
        </w:rPr>
        <w:t>”.</w:t>
      </w:r>
    </w:p>
    <w:p w:rsidR="00987FBD" w:rsidRPr="00987FBD" w:rsidRDefault="0027053F" w:rsidP="00987FBD">
      <w:pPr>
        <w:spacing w:before="120"/>
        <w:jc w:val="both"/>
        <w:rPr>
          <w:rFonts w:ascii="Tahoma" w:eastAsia="Tahoma" w:hAnsi="Tahoma" w:cs="Tahoma"/>
          <w:b/>
          <w:sz w:val="20"/>
          <w:szCs w:val="20"/>
          <w:lang w:val="nl-BE"/>
        </w:rPr>
      </w:pPr>
      <w:r w:rsidRPr="00987FBD">
        <w:rPr>
          <w:rFonts w:ascii="Tahoma" w:eastAsia="Tahoma" w:hAnsi="Tahoma" w:cs="Tahoma"/>
          <w:b/>
          <w:sz w:val="20"/>
          <w:szCs w:val="20"/>
          <w:lang w:val="nl-BE"/>
        </w:rPr>
        <w:t>Motivering</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Omwille van budgetbehoeften is het nuttig om bovenbedoelde belasting te handhaven.</w:t>
      </w:r>
    </w:p>
    <w:p w:rsidR="00C421A7" w:rsidRPr="00987FBD" w:rsidRDefault="0027053F" w:rsidP="00987FBD">
      <w:pPr>
        <w:jc w:val="both"/>
        <w:rPr>
          <w:b/>
          <w:sz w:val="20"/>
          <w:szCs w:val="20"/>
          <w:lang w:val="nl-BE"/>
        </w:rPr>
      </w:pPr>
      <w:r w:rsidRPr="00987FBD">
        <w:rPr>
          <w:rFonts w:ascii="Tahoma" w:eastAsia="Tahoma" w:hAnsi="Tahoma" w:cs="Tahoma"/>
          <w:sz w:val="20"/>
          <w:szCs w:val="20"/>
          <w:lang w:val="nl-BE"/>
        </w:rPr>
        <w:t xml:space="preserve">Er wordt een gemeentelijke belasting geheven op tweede verblijven waarvan het bedrag voor alle belastingplichtigen vastgesteld wordt op </w:t>
      </w:r>
      <w:r w:rsidR="001D4131">
        <w:rPr>
          <w:rFonts w:ascii="Tahoma" w:eastAsia="Tahoma" w:hAnsi="Tahoma" w:cs="Tahoma"/>
          <w:sz w:val="20"/>
          <w:szCs w:val="20"/>
          <w:lang w:val="nl-BE"/>
        </w:rPr>
        <w:t>750</w:t>
      </w:r>
      <w:r w:rsidRPr="00987FBD">
        <w:rPr>
          <w:rFonts w:ascii="Tahoma" w:eastAsia="Tahoma" w:hAnsi="Tahoma" w:cs="Tahoma"/>
          <w:sz w:val="20"/>
          <w:szCs w:val="20"/>
          <w:lang w:val="nl-BE"/>
        </w:rPr>
        <w:t>,00 euro per eenheid.</w:t>
      </w:r>
    </w:p>
    <w:p w:rsidR="008073BA" w:rsidRDefault="0027053F" w:rsidP="008073BA">
      <w:pPr>
        <w:spacing w:before="120"/>
        <w:rPr>
          <w:b/>
          <w:sz w:val="20"/>
          <w:szCs w:val="20"/>
          <w:lang w:val="nl-BE"/>
        </w:rPr>
      </w:pPr>
      <w:r w:rsidRPr="00C421A7">
        <w:rPr>
          <w:b/>
          <w:sz w:val="20"/>
          <w:szCs w:val="20"/>
          <w:lang w:val="nl-BE"/>
        </w:rPr>
        <w:t>BESLUIT</w:t>
      </w:r>
    </w:p>
    <w:p w:rsidR="00592A51" w:rsidRDefault="00592A51">
      <w:pPr>
        <w:sectPr w:rsidR="00592A51" w:rsidSect="005861D4">
          <w:type w:val="continuous"/>
          <w:pgSz w:w="11906" w:h="16838"/>
          <w:pgMar w:top="1134" w:right="1133" w:bottom="1276" w:left="1134" w:header="708" w:footer="708" w:gutter="0"/>
          <w:cols w:space="708"/>
          <w:docGrid w:linePitch="360"/>
        </w:sectPr>
      </w:pPr>
    </w:p>
    <w:p w:rsidR="001F5245" w:rsidRPr="00133F03" w:rsidRDefault="0027053F" w:rsidP="00755283">
      <w:pPr>
        <w:rPr>
          <w:b/>
          <w:sz w:val="20"/>
          <w:szCs w:val="20"/>
        </w:rPr>
      </w:pPr>
      <w:r w:rsidRPr="00133F03">
        <w:rPr>
          <w:b/>
          <w:sz w:val="20"/>
          <w:szCs w:val="20"/>
        </w:rPr>
        <w:t>EENPARIG</w:t>
      </w:r>
    </w:p>
    <w:p w:rsidR="00592A51" w:rsidRDefault="00592A51">
      <w:pPr>
        <w:sectPr w:rsidR="00592A51" w:rsidSect="005861D4">
          <w:type w:val="continuous"/>
          <w:pgSz w:w="11906" w:h="16838"/>
          <w:pgMar w:top="1134" w:right="1133" w:bottom="1276" w:left="1134" w:header="708" w:footer="708" w:gutter="0"/>
          <w:cols w:space="708"/>
          <w:docGrid w:linePitch="360"/>
        </w:sectPr>
      </w:pPr>
    </w:p>
    <w:p w:rsidR="00987FBD" w:rsidRPr="00987FBD" w:rsidRDefault="0027053F" w:rsidP="00987FBD">
      <w:pPr>
        <w:spacing w:before="120"/>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Voor een termijn van </w:t>
      </w:r>
      <w:r w:rsidR="004F0595">
        <w:rPr>
          <w:rFonts w:ascii="Tahoma" w:eastAsia="Tahoma" w:hAnsi="Tahoma" w:cs="Tahoma"/>
          <w:sz w:val="20"/>
          <w:szCs w:val="20"/>
          <w:lang w:val="nl-BE"/>
        </w:rPr>
        <w:t>zes jaar, vanaf 1 januari 2020</w:t>
      </w:r>
      <w:r w:rsidRPr="00987FBD">
        <w:rPr>
          <w:rFonts w:ascii="Tahoma" w:eastAsia="Tahoma" w:hAnsi="Tahoma" w:cs="Tahoma"/>
          <w:sz w:val="20"/>
          <w:szCs w:val="20"/>
          <w:lang w:val="nl-BE"/>
        </w:rPr>
        <w:t xml:space="preserve"> </w:t>
      </w:r>
      <w:r w:rsidR="004F0595">
        <w:rPr>
          <w:rFonts w:ascii="Tahoma" w:eastAsia="Tahoma" w:hAnsi="Tahoma" w:cs="Tahoma"/>
          <w:sz w:val="20"/>
          <w:szCs w:val="20"/>
          <w:lang w:val="nl-BE"/>
        </w:rPr>
        <w:t>en eindigend op 31 december 2025</w:t>
      </w:r>
      <w:r w:rsidRPr="00987FBD">
        <w:rPr>
          <w:rFonts w:ascii="Tahoma" w:eastAsia="Tahoma" w:hAnsi="Tahoma" w:cs="Tahoma"/>
          <w:sz w:val="20"/>
          <w:szCs w:val="20"/>
          <w:lang w:val="nl-BE"/>
        </w:rPr>
        <w:t>, wordt een belasting gevestigd op tweede verblijven.</w:t>
      </w:r>
    </w:p>
    <w:p w:rsidR="00987FBD" w:rsidRPr="00987FBD" w:rsidRDefault="0027053F" w:rsidP="00987FBD">
      <w:pPr>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2</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Als tweede verblijf wordt beschouwd: elke private woongelegenheid die voor de eigenaar of voor de huurder ervan niet tot hoofdverblijf dient maar die op elk ogenblik door hem kan bewoond worden en waarvoor er </w:t>
      </w:r>
      <w:r w:rsidRPr="00987FBD">
        <w:rPr>
          <w:rFonts w:ascii="Tahoma" w:eastAsia="Tahoma" w:hAnsi="Tahoma" w:cs="Tahoma"/>
          <w:sz w:val="20"/>
          <w:szCs w:val="20"/>
          <w:lang w:val="nl-BE"/>
        </w:rPr>
        <w:lastRenderedPageBreak/>
        <w:t>geen inschrijving is in het bevolkingsregister als hoofdverblijf. Het kan hierbij gaan om landhuizen, bungalows, appartementen, weekendhuisjes en alle andere vaste woongelegenheden, daarbij inbegrepen de met chalets gelijkgestelde caravans. De inschrijving in de kadastrale legger is van geen belang voor de vaststelling van de belastbare materie.</w:t>
      </w:r>
    </w:p>
    <w:p w:rsidR="00987FBD" w:rsidRPr="00987FBD" w:rsidRDefault="0027053F" w:rsidP="00987FBD">
      <w:pPr>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3</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Vallen niet onder toepassing van deze belasting:</w:t>
      </w:r>
    </w:p>
    <w:p w:rsidR="00987FBD" w:rsidRPr="00987FBD" w:rsidRDefault="0027053F" w:rsidP="00987FBD">
      <w:pPr>
        <w:numPr>
          <w:ilvl w:val="0"/>
          <w:numId w:val="1"/>
        </w:numPr>
        <w:overflowPunct w:val="0"/>
        <w:autoSpaceDE w:val="0"/>
        <w:autoSpaceDN w:val="0"/>
        <w:adjustRightInd w:val="0"/>
        <w:ind w:left="284" w:hanging="284"/>
        <w:jc w:val="both"/>
        <w:textAlignment w:val="baseline"/>
        <w:rPr>
          <w:rFonts w:ascii="Tahoma" w:eastAsia="Tahoma" w:hAnsi="Tahoma" w:cs="Tahoma"/>
          <w:sz w:val="20"/>
          <w:szCs w:val="20"/>
          <w:lang w:val="nl-BE"/>
        </w:rPr>
      </w:pPr>
      <w:r w:rsidRPr="00987FBD">
        <w:rPr>
          <w:rFonts w:ascii="Tahoma" w:eastAsia="Tahoma" w:hAnsi="Tahoma" w:cs="Tahoma"/>
          <w:sz w:val="20"/>
          <w:szCs w:val="20"/>
          <w:lang w:val="nl-BE"/>
        </w:rPr>
        <w:t>De lokalen welke uitsluitend bestemd zijn voor het uitoefenen van een beroepsactiviteit.</w:t>
      </w:r>
    </w:p>
    <w:p w:rsidR="00987FBD" w:rsidRPr="00987FBD" w:rsidRDefault="0027053F" w:rsidP="00987FBD">
      <w:pPr>
        <w:overflowPunct w:val="0"/>
        <w:autoSpaceDE w:val="0"/>
        <w:autoSpaceDN w:val="0"/>
        <w:adjustRightInd w:val="0"/>
        <w:ind w:left="284"/>
        <w:jc w:val="both"/>
        <w:textAlignment w:val="baseline"/>
        <w:rPr>
          <w:rFonts w:ascii="Tahoma" w:eastAsia="Tahoma" w:hAnsi="Tahoma" w:cs="Tahoma"/>
          <w:sz w:val="20"/>
          <w:szCs w:val="20"/>
          <w:lang w:val="nl-BE"/>
        </w:rPr>
      </w:pPr>
      <w:r w:rsidRPr="00987FBD">
        <w:rPr>
          <w:rFonts w:ascii="Tahoma" w:eastAsia="Tahoma" w:hAnsi="Tahoma" w:cs="Tahoma"/>
          <w:sz w:val="20"/>
          <w:szCs w:val="20"/>
          <w:lang w:val="nl-BE"/>
        </w:rPr>
        <w:t>Het vestigen van een maatschappelijke zetel van een rechtspersoon of het houden van een jaarvergadering van een maatschap/THV of feitelijke vereniging op zich houdt geen vrijstelling in van de belasting op de tweede verblijven.</w:t>
      </w:r>
    </w:p>
    <w:p w:rsidR="00987FBD" w:rsidRPr="00987FBD" w:rsidRDefault="0027053F" w:rsidP="00987FBD">
      <w:pPr>
        <w:numPr>
          <w:ilvl w:val="0"/>
          <w:numId w:val="1"/>
        </w:numPr>
        <w:overflowPunct w:val="0"/>
        <w:autoSpaceDE w:val="0"/>
        <w:autoSpaceDN w:val="0"/>
        <w:adjustRightInd w:val="0"/>
        <w:ind w:left="284" w:hanging="284"/>
        <w:jc w:val="both"/>
        <w:textAlignment w:val="baseline"/>
        <w:rPr>
          <w:rFonts w:ascii="Tahoma" w:eastAsia="Tahoma" w:hAnsi="Tahoma" w:cs="Tahoma"/>
          <w:sz w:val="20"/>
          <w:szCs w:val="20"/>
          <w:lang w:val="nl-BE"/>
        </w:rPr>
      </w:pPr>
      <w:r w:rsidRPr="00987FBD">
        <w:rPr>
          <w:rFonts w:ascii="Tahoma" w:eastAsia="Tahoma" w:hAnsi="Tahoma" w:cs="Tahoma"/>
          <w:sz w:val="20"/>
          <w:szCs w:val="20"/>
          <w:lang w:val="nl-BE"/>
        </w:rPr>
        <w:t>De garages, tenten, verplaatsbare caravans en woonaanhangwagens. Op de tenten, verplaatsbare caravans en woonaanhangwagens is eventueel de belasting op het kamperen van toepassing.</w:t>
      </w:r>
    </w:p>
    <w:p w:rsidR="00987FBD" w:rsidRPr="00987FBD" w:rsidRDefault="0027053F" w:rsidP="00987FBD">
      <w:pPr>
        <w:numPr>
          <w:ilvl w:val="0"/>
          <w:numId w:val="1"/>
        </w:numPr>
        <w:overflowPunct w:val="0"/>
        <w:autoSpaceDE w:val="0"/>
        <w:autoSpaceDN w:val="0"/>
        <w:adjustRightInd w:val="0"/>
        <w:ind w:left="284" w:hanging="284"/>
        <w:jc w:val="both"/>
        <w:textAlignment w:val="baseline"/>
        <w:rPr>
          <w:rFonts w:ascii="Tahoma" w:eastAsia="Tahoma" w:hAnsi="Tahoma" w:cs="Tahoma"/>
          <w:sz w:val="20"/>
          <w:szCs w:val="20"/>
          <w:lang w:val="nl-BE"/>
        </w:rPr>
      </w:pPr>
      <w:r w:rsidRPr="00987FBD">
        <w:rPr>
          <w:rFonts w:ascii="Tahoma" w:eastAsia="Tahoma" w:hAnsi="Tahoma" w:cs="Tahoma"/>
          <w:sz w:val="20"/>
          <w:szCs w:val="20"/>
          <w:lang w:val="nl-BE"/>
        </w:rPr>
        <w:t>De gebouwen waarop de belasting op de leegstaande gebouwen van toepassing is.</w:t>
      </w:r>
    </w:p>
    <w:p w:rsidR="00987FBD" w:rsidRPr="00987FBD" w:rsidRDefault="0027053F" w:rsidP="00987FBD">
      <w:pPr>
        <w:tabs>
          <w:tab w:val="left" w:pos="4678"/>
        </w:tabs>
        <w:jc w:val="both"/>
        <w:rPr>
          <w:rFonts w:ascii="Tahoma" w:eastAsia="Tahoma" w:hAnsi="Tahoma" w:cs="Tahoma"/>
          <w:sz w:val="20"/>
          <w:szCs w:val="20"/>
          <w:lang w:val="nl-BE"/>
        </w:rPr>
      </w:pPr>
      <w:r w:rsidRPr="00987FBD">
        <w:rPr>
          <w:rFonts w:ascii="Tahoma" w:eastAsia="Tahoma" w:hAnsi="Tahoma" w:cs="Tahoma"/>
          <w:sz w:val="20"/>
          <w:szCs w:val="20"/>
          <w:u w:val="single"/>
          <w:lang w:val="nl-BE"/>
        </w:rPr>
        <w:t>Artikel 4</w:t>
      </w:r>
    </w:p>
    <w:p w:rsidR="00987FBD" w:rsidRPr="00987FBD" w:rsidRDefault="0027053F" w:rsidP="00987FBD">
      <w:pPr>
        <w:tabs>
          <w:tab w:val="left" w:pos="4678"/>
        </w:tabs>
        <w:jc w:val="both"/>
        <w:rPr>
          <w:rFonts w:ascii="Tahoma" w:eastAsia="Tahoma" w:hAnsi="Tahoma" w:cs="Tahoma"/>
          <w:sz w:val="20"/>
          <w:szCs w:val="20"/>
          <w:lang w:val="nl-BE"/>
        </w:rPr>
      </w:pPr>
      <w:r w:rsidRPr="00987FBD">
        <w:rPr>
          <w:rFonts w:ascii="Tahoma" w:eastAsia="Tahoma" w:hAnsi="Tahoma" w:cs="Tahoma"/>
          <w:sz w:val="20"/>
          <w:szCs w:val="20"/>
          <w:lang w:val="nl-BE"/>
        </w:rPr>
        <w:t>De belasting is verschuldigd door de eigenaar (blote eigenaar, vruchtgebruiker, opstalhouder, erfpachter…) van het tweede verblijf op 1 januari van het belastingjaar. Zijn belastingplicht geldt ook wanneer het tweede verblijf verhuurd wordt of wanneer het tijdelijk niet gebruikt wordt.</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eigenaar is de belasting verschuldigd ongeacht het feit of hij al dan niet in de bevolkingsregisters van de gemeente is ingeschreven.</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Deze laatste omstandigheid doet inderdaad geen afbreuk aan het feit dat al de eigenaars zich ten aanzien van het belastbaar voorwerp in dezelfde objectieve voorwaarden bevinden, namelijk het kunnen beschikken over een tweede verblijf.</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5</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De belasting wordt forfaitair vastgesteld op </w:t>
      </w:r>
      <w:r w:rsidR="001D4131">
        <w:rPr>
          <w:rFonts w:ascii="Tahoma" w:eastAsia="Tahoma" w:hAnsi="Tahoma" w:cs="Tahoma"/>
          <w:sz w:val="20"/>
          <w:szCs w:val="20"/>
          <w:lang w:val="nl-BE"/>
        </w:rPr>
        <w:t>750</w:t>
      </w:r>
      <w:r w:rsidRPr="00987FBD">
        <w:rPr>
          <w:rFonts w:ascii="Tahoma" w:eastAsia="Tahoma" w:hAnsi="Tahoma" w:cs="Tahoma"/>
          <w:sz w:val="20"/>
          <w:szCs w:val="20"/>
          <w:lang w:val="nl-BE"/>
        </w:rPr>
        <w:t>,00 euro per jaar en per tweede verblijf.</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6</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eigendomsoverdracht in de loop van het belastingjaar geeft geen aanleiding tot vermindering van de voor dat jaar verschuldigde belasting.</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In geval van eigendomsoverdracht in de loop van het belastingjaar is de nieuwe eigenaar de belasting verschuldigd te rekenen van 1 januari volgend op de datum van de eigendomsoverdracht.</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verwijdering of afbraak van het belastbare goed in de loop van het belastingjaar geeft geen aanleiding tot vermindering van deze belasting.</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7</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belastbare elementen worden geteld door het gemeentebestuur. Het ontvangt van de betrokkenen een getekende verklaring volgens het model en binnen de termijn vastgesteld door het bestuur. De betrokkenen die geen formulier zouden ontvangen hebben, zijn niettemin verplicht spontaan aan het gemeentebestuur de elementen te verstrekken die nodig zijn voor de toepassing van de belasting, en dit ten laatste één maand na de aanwending van het tweede verblijf.</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De </w:t>
      </w:r>
      <w:r w:rsidR="00A03654">
        <w:rPr>
          <w:rFonts w:ascii="Tahoma" w:eastAsia="Tahoma" w:hAnsi="Tahoma" w:cs="Tahoma"/>
          <w:sz w:val="20"/>
          <w:szCs w:val="20"/>
          <w:lang w:val="nl-BE"/>
        </w:rPr>
        <w:t>initiële</w:t>
      </w:r>
      <w:r w:rsidRPr="00987FBD">
        <w:rPr>
          <w:rFonts w:ascii="Tahoma" w:eastAsia="Tahoma" w:hAnsi="Tahoma" w:cs="Tahoma"/>
          <w:sz w:val="20"/>
          <w:szCs w:val="20"/>
          <w:lang w:val="nl-BE"/>
        </w:rPr>
        <w:t xml:space="preserve"> aangifte is, behoudens bij wijziging, geldig tot de opzegging.</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8</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Bij gebreke van een aangifte of bij onvolledige aangifte wordt de </w:t>
      </w:r>
      <w:r w:rsidR="00054F4A">
        <w:rPr>
          <w:rFonts w:ascii="Tahoma" w:eastAsia="Tahoma" w:hAnsi="Tahoma" w:cs="Tahoma"/>
          <w:sz w:val="20"/>
          <w:szCs w:val="20"/>
          <w:lang w:val="nl-BE"/>
        </w:rPr>
        <w:t>belastingplichtige ambtshalve</w:t>
      </w:r>
      <w:r w:rsidRPr="00987FBD">
        <w:rPr>
          <w:rFonts w:ascii="Tahoma" w:eastAsia="Tahoma" w:hAnsi="Tahoma" w:cs="Tahoma"/>
          <w:sz w:val="20"/>
          <w:szCs w:val="20"/>
          <w:lang w:val="nl-BE"/>
        </w:rPr>
        <w:t xml:space="preserve"> belast volgens de gegevens waarover het gemeentebestuur beschikt, onverminderd het recht van bezwaar en beroep en onverminderd de bij wetten en reglementen vastgestelde vervolgingen en straffen.</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lastRenderedPageBreak/>
        <w:t>De belastingplichtige beschikt over een termijn van dertig dagen vanaf de derde werkdag volgend op de datum van verzending van de betekening om zijn opmerkingen schriftelijk voor te dragen.</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9</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ambtshalve ingekohierde belasting wordt verhoogd met een bedrag gelijk aan de verschuldigde belasting. In geval van herhaling binnen het jaar wordt de verhoging verdubbeld. Het bedrag van deze verhoging wordt ingekohierd.</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10</w:t>
      </w:r>
    </w:p>
    <w:p w:rsidR="00987FBD" w:rsidRPr="00987FBD" w:rsidRDefault="0027053F" w:rsidP="00987FBD">
      <w:pPr>
        <w:tabs>
          <w:tab w:val="left" w:pos="1276"/>
        </w:tabs>
        <w:jc w:val="both"/>
        <w:rPr>
          <w:rFonts w:ascii="Tahoma" w:eastAsia="Tahoma" w:hAnsi="Tahoma" w:cs="Tahoma"/>
          <w:sz w:val="20"/>
          <w:szCs w:val="20"/>
          <w:lang w:val="nl-BE"/>
        </w:rPr>
      </w:pPr>
      <w:r w:rsidRPr="00987FBD">
        <w:rPr>
          <w:rFonts w:ascii="Tahoma" w:eastAsia="Tahoma" w:hAnsi="Tahoma" w:cs="Tahoma"/>
          <w:sz w:val="20"/>
          <w:szCs w:val="20"/>
          <w:lang w:val="nl-BE"/>
        </w:rPr>
        <w:t>Het kohier van deze belasting wordt opgemaakt en uitvoerbaar verklaard door het college van burgemeester en schepenen, overeenkomstig het decreet van 30 mei 2008, gewijzigd bij decreten van 28 mei 2010 en</w:t>
      </w:r>
      <w:r w:rsidRPr="00987FBD">
        <w:rPr>
          <w:rFonts w:ascii="Tahoma" w:eastAsia="Tahoma" w:hAnsi="Tahoma" w:cs="Tahoma"/>
          <w:sz w:val="20"/>
          <w:szCs w:val="20"/>
          <w:lang w:val="nl-BE"/>
        </w:rPr>
        <w:br/>
        <w:t>17 februari 2012.</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11</w:t>
      </w:r>
    </w:p>
    <w:p w:rsidR="00987FBD" w:rsidRPr="00987FBD" w:rsidRDefault="0027053F" w:rsidP="00987FBD">
      <w:pPr>
        <w:tabs>
          <w:tab w:val="left" w:pos="1276"/>
        </w:tabs>
        <w:jc w:val="both"/>
        <w:rPr>
          <w:rFonts w:ascii="Tahoma" w:eastAsia="Tahoma" w:hAnsi="Tahoma" w:cs="Tahoma"/>
          <w:sz w:val="20"/>
          <w:szCs w:val="20"/>
          <w:lang w:val="nl-BE"/>
        </w:rPr>
      </w:pPr>
      <w:r w:rsidRPr="00987FBD">
        <w:rPr>
          <w:rFonts w:ascii="Tahoma" w:eastAsia="Tahoma" w:hAnsi="Tahoma" w:cs="Tahoma"/>
          <w:sz w:val="20"/>
          <w:szCs w:val="20"/>
          <w:lang w:val="nl-BE"/>
        </w:rPr>
        <w:t>De kohieren worden ingevorderd door de fin</w:t>
      </w:r>
      <w:r w:rsidR="00054F4A">
        <w:rPr>
          <w:rFonts w:ascii="Tahoma" w:eastAsia="Tahoma" w:hAnsi="Tahoma" w:cs="Tahoma"/>
          <w:sz w:val="20"/>
          <w:szCs w:val="20"/>
          <w:lang w:val="nl-BE"/>
        </w:rPr>
        <w:t>ancieel directeur</w:t>
      </w:r>
      <w:r w:rsidRPr="00987FBD">
        <w:rPr>
          <w:rFonts w:ascii="Tahoma" w:eastAsia="Tahoma" w:hAnsi="Tahoma" w:cs="Tahoma"/>
          <w:sz w:val="20"/>
          <w:szCs w:val="20"/>
          <w:lang w:val="nl-BE"/>
        </w:rPr>
        <w:t>, overeenkomstig het decreet van</w:t>
      </w:r>
      <w:r w:rsidRPr="00987FBD">
        <w:rPr>
          <w:rFonts w:ascii="Tahoma" w:eastAsia="Tahoma" w:hAnsi="Tahoma" w:cs="Tahoma"/>
          <w:sz w:val="20"/>
          <w:szCs w:val="20"/>
          <w:lang w:val="nl-BE"/>
        </w:rPr>
        <w:br/>
        <w:t>30 mei 2008, gewijzigd bij decreten van 28 mei 2010 en 17 februari 2012.</w:t>
      </w:r>
    </w:p>
    <w:p w:rsidR="00987FBD" w:rsidRPr="00987FBD" w:rsidRDefault="0027053F" w:rsidP="00987FBD">
      <w:pPr>
        <w:tabs>
          <w:tab w:val="left" w:pos="1276"/>
        </w:tabs>
        <w:jc w:val="both"/>
        <w:rPr>
          <w:rFonts w:ascii="Tahoma" w:eastAsia="Tahoma" w:hAnsi="Tahoma" w:cs="Tahoma"/>
          <w:sz w:val="20"/>
          <w:szCs w:val="20"/>
          <w:lang w:val="nl-BE"/>
        </w:rPr>
      </w:pPr>
      <w:r w:rsidRPr="00987FBD">
        <w:rPr>
          <w:rFonts w:ascii="Tahoma" w:eastAsia="Tahoma" w:hAnsi="Tahoma" w:cs="Tahoma"/>
          <w:sz w:val="20"/>
          <w:szCs w:val="20"/>
          <w:lang w:val="nl-BE"/>
        </w:rPr>
        <w:t>De belastingschuldigen ontvangen kosteloos, door bemidde</w:t>
      </w:r>
      <w:r w:rsidR="00054F4A">
        <w:rPr>
          <w:rFonts w:ascii="Tahoma" w:eastAsia="Tahoma" w:hAnsi="Tahoma" w:cs="Tahoma"/>
          <w:sz w:val="20"/>
          <w:szCs w:val="20"/>
          <w:lang w:val="nl-BE"/>
        </w:rPr>
        <w:t>ling van de financieel directeur</w:t>
      </w:r>
      <w:r w:rsidRPr="00987FBD">
        <w:rPr>
          <w:rFonts w:ascii="Tahoma" w:eastAsia="Tahoma" w:hAnsi="Tahoma" w:cs="Tahoma"/>
          <w:sz w:val="20"/>
          <w:szCs w:val="20"/>
          <w:lang w:val="nl-BE"/>
        </w:rPr>
        <w:t>, de aanslagbiljetten, uittreksels uit het kohier. Zij moeten de belasting betalen binnen twee (2) maanden, te rekenen van de datum van de verzending van de aanslagbiljetten.</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12</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De belastingschuldige kan een bezwaar tegen deze belasting en de eventueel opgelegde verhoging indienen bij het college van burgemeester en schepenen van de gemeente.</w:t>
      </w:r>
    </w:p>
    <w:p w:rsidR="00987FBD" w:rsidRPr="00987FBD" w:rsidRDefault="0027053F" w:rsidP="00987FBD">
      <w:pPr>
        <w:jc w:val="both"/>
        <w:rPr>
          <w:rFonts w:ascii="Tahoma" w:eastAsia="Tahoma" w:hAnsi="Tahoma" w:cs="Tahoma"/>
          <w:sz w:val="20"/>
          <w:szCs w:val="20"/>
          <w:lang w:val="nl-BE"/>
        </w:rPr>
      </w:pPr>
      <w:r w:rsidRPr="001D4131">
        <w:rPr>
          <w:rFonts w:ascii="Tahoma" w:eastAsia="Tahoma" w:hAnsi="Tahoma" w:cs="Tahoma"/>
          <w:sz w:val="20"/>
          <w:szCs w:val="20"/>
          <w:lang w:val="nl-BE"/>
        </w:rPr>
        <w:t>Het bezwaar moet schriftelijk worden ingediend, ondertekend en gemotiveerd zijn en op straffe van verval worden ingediend binnen een termijn van drie maanden te rekenen vanaf de derde werkdag volgend op de datum van verzending van het aanslagbiljet of vanaf de kennisgeving van de aanslag</w:t>
      </w:r>
      <w:r>
        <w:rPr>
          <w:rFonts w:ascii="Tahoma" w:eastAsia="Tahoma" w:hAnsi="Tahoma" w:cs="Tahoma"/>
          <w:sz w:val="20"/>
          <w:szCs w:val="20"/>
          <w:lang w:val="nl-BE"/>
        </w:rPr>
        <w:t>.</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Wanneer het bezwaar het herstel beoogt van een materiële vergissing, kan het nochtans geldig worden ingediend zolang de gouverneur de dienstjaarrekening van het jaar van de belasting niet heeft goedgekeurd.</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Van het bezwaarschrift wordt een ontvangstbewijs afgegeven.</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13</w:t>
      </w:r>
    </w:p>
    <w:p w:rsidR="00987FBD" w:rsidRPr="00987FBD" w:rsidRDefault="0027053F" w:rsidP="00987FBD">
      <w:pPr>
        <w:jc w:val="both"/>
        <w:rPr>
          <w:rFonts w:ascii="Tahoma" w:eastAsia="Tahoma" w:hAnsi="Tahoma" w:cs="Tahoma"/>
          <w:sz w:val="20"/>
          <w:szCs w:val="20"/>
          <w:lang w:val="nl-BE"/>
        </w:rPr>
      </w:pPr>
      <w:r w:rsidRPr="00987FBD">
        <w:rPr>
          <w:rFonts w:ascii="Tahoma" w:eastAsia="Tahoma" w:hAnsi="Tahoma" w:cs="Tahoma"/>
          <w:sz w:val="20"/>
          <w:szCs w:val="20"/>
          <w:lang w:val="nl-BE"/>
        </w:rPr>
        <w:t xml:space="preserve">Zonder afbreuk te doen aan de bepalingen van het decreet van 30 mei 2008, gewijzigd bij decreten van </w:t>
      </w:r>
      <w:r w:rsidRPr="00987FBD">
        <w:rPr>
          <w:rFonts w:ascii="Tahoma" w:eastAsia="Tahoma" w:hAnsi="Tahoma" w:cs="Tahoma"/>
          <w:sz w:val="20"/>
          <w:szCs w:val="20"/>
          <w:lang w:val="nl-BE"/>
        </w:rPr>
        <w:br/>
        <w:t>28 mei 2010 en 17 februari 2012, zijn de bepalingen van titel VII (vestiging en invordering van de belastingen), hoofdstukken 1 (algemene bepalingen), 3 (onderzoek en controle), 4 (bewijsmiddelen van de administratie), 6 tot en met 9bis (rechtsmiddelen, invordering van de belasting waaronder de nalatigheids- en moratoriuminteresten; rechten en voorrechten van de schatkist; strafbepalingen) van het Wetboek van de inkomstenbelastingen en de artikelen 126 tot 175 van het uitvoeringsbesluit van dit Wetboek (betreft o.m. de verjaring en de vervolgingen) van toepassing voor zover zij met name niet de belastingen op de inkomsten betreffen.</w:t>
      </w:r>
    </w:p>
    <w:p w:rsidR="00987FBD" w:rsidRPr="00987FBD" w:rsidRDefault="0027053F" w:rsidP="00987FBD">
      <w:pPr>
        <w:tabs>
          <w:tab w:val="left" w:pos="4678"/>
        </w:tabs>
        <w:jc w:val="both"/>
        <w:rPr>
          <w:rFonts w:ascii="Tahoma" w:eastAsia="Tahoma" w:hAnsi="Tahoma" w:cs="Tahoma"/>
          <w:sz w:val="20"/>
          <w:szCs w:val="20"/>
          <w:u w:val="single"/>
          <w:lang w:val="nl-BE"/>
        </w:rPr>
      </w:pPr>
      <w:r w:rsidRPr="00987FBD">
        <w:rPr>
          <w:rFonts w:ascii="Tahoma" w:eastAsia="Tahoma" w:hAnsi="Tahoma" w:cs="Tahoma"/>
          <w:sz w:val="20"/>
          <w:szCs w:val="20"/>
          <w:u w:val="single"/>
          <w:lang w:val="nl-BE"/>
        </w:rPr>
        <w:t>Artikel 14</w:t>
      </w:r>
    </w:p>
    <w:p w:rsidR="00C421A7" w:rsidRPr="002D26B9" w:rsidRDefault="0027053F" w:rsidP="002D26B9">
      <w:pPr>
        <w:jc w:val="both"/>
        <w:rPr>
          <w:sz w:val="20"/>
          <w:szCs w:val="20"/>
          <w:u w:val="single"/>
          <w:lang w:val="nl-BE"/>
        </w:rPr>
      </w:pPr>
      <w:r>
        <w:rPr>
          <w:rFonts w:ascii="Tahoma" w:eastAsia="Tahoma" w:hAnsi="Tahoma" w:cs="Tahoma"/>
          <w:sz w:val="20"/>
          <w:szCs w:val="20"/>
          <w:lang w:val="nl-BE"/>
        </w:rPr>
        <w:t>Dit reglement zal worden bekendgemaakt op de gemeentelijke website overeenkomstig de bepalingen van artikel 286 van het Decreet Lokaal Bestuur.</w:t>
      </w:r>
    </w:p>
    <w:p w:rsidR="00592A51" w:rsidRDefault="00592A51">
      <w:pPr>
        <w:sectPr w:rsidR="00592A51" w:rsidSect="005861D4">
          <w:type w:val="continuous"/>
          <w:pgSz w:w="11906" w:h="16838"/>
          <w:pgMar w:top="1134" w:right="1133" w:bottom="1276" w:left="1134" w:header="708" w:footer="708" w:gutter="0"/>
          <w:cols w:space="708"/>
          <w:docGrid w:linePitch="360"/>
        </w:sectPr>
      </w:pPr>
    </w:p>
    <w:p w:rsidR="00EE4EAC" w:rsidRPr="00C83428" w:rsidRDefault="00EE4EAC" w:rsidP="002257E2">
      <w:pPr>
        <w:tabs>
          <w:tab w:val="left" w:pos="510"/>
        </w:tabs>
        <w:ind w:left="510" w:hanging="510"/>
        <w:rPr>
          <w:sz w:val="20"/>
          <w:szCs w:val="20"/>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05"/>
      </w:tblGrid>
      <w:tr w:rsidR="00592A51" w:rsidTr="00EE4EAC">
        <w:tc>
          <w:tcPr>
            <w:tcW w:w="3259" w:type="dxa"/>
          </w:tcPr>
          <w:p w:rsidR="00EE4EAC" w:rsidRPr="00C83428" w:rsidRDefault="00EE4EAC" w:rsidP="00EE4EAC">
            <w:pPr>
              <w:rPr>
                <w:sz w:val="20"/>
                <w:szCs w:val="20"/>
                <w:lang w:val="nl-BE"/>
              </w:rPr>
            </w:pPr>
          </w:p>
        </w:tc>
        <w:tc>
          <w:tcPr>
            <w:tcW w:w="3260" w:type="dxa"/>
          </w:tcPr>
          <w:p w:rsidR="00EE4EAC" w:rsidRPr="00C83428" w:rsidRDefault="0027053F" w:rsidP="00B720F0">
            <w:pPr>
              <w:rPr>
                <w:sz w:val="20"/>
                <w:szCs w:val="20"/>
                <w:lang w:val="nl-BE"/>
              </w:rPr>
            </w:pPr>
            <w:r w:rsidRPr="00C83428">
              <w:rPr>
                <w:sz w:val="20"/>
                <w:szCs w:val="20"/>
                <w:lang w:val="nl-BE"/>
              </w:rPr>
              <w:t xml:space="preserve">Namens </w:t>
            </w:r>
            <w:r w:rsidR="00B720F0" w:rsidRPr="00C83428">
              <w:rPr>
                <w:sz w:val="20"/>
                <w:szCs w:val="20"/>
                <w:lang w:val="nl-BE"/>
              </w:rPr>
              <w:t>de Gemeenteraad</w:t>
            </w:r>
          </w:p>
        </w:tc>
        <w:tc>
          <w:tcPr>
            <w:tcW w:w="3260" w:type="dxa"/>
          </w:tcPr>
          <w:p w:rsidR="00EE4EAC" w:rsidRPr="00C83428" w:rsidRDefault="00EE4EAC" w:rsidP="00EE4EAC">
            <w:pPr>
              <w:rPr>
                <w:sz w:val="20"/>
                <w:szCs w:val="20"/>
                <w:lang w:val="nl-BE"/>
              </w:rPr>
            </w:pPr>
          </w:p>
        </w:tc>
      </w:tr>
      <w:tr w:rsidR="00592A51" w:rsidTr="00EE4EAC">
        <w:tc>
          <w:tcPr>
            <w:tcW w:w="3259" w:type="dxa"/>
          </w:tcPr>
          <w:p w:rsidR="00EE4EAC" w:rsidRPr="00C83428" w:rsidRDefault="0027053F" w:rsidP="00EE4EAC">
            <w:pPr>
              <w:rPr>
                <w:sz w:val="20"/>
                <w:szCs w:val="20"/>
                <w:lang w:val="nl-BE"/>
              </w:rPr>
            </w:pPr>
            <w:r>
              <w:rPr>
                <w:sz w:val="20"/>
                <w:szCs w:val="20"/>
                <w:lang w:val="nl-BE"/>
              </w:rPr>
              <w:t xml:space="preserve">(get.) </w:t>
            </w:r>
            <w:r w:rsidR="00E87BD9">
              <w:rPr>
                <w:sz w:val="20"/>
                <w:szCs w:val="20"/>
                <w:lang w:val="nl-BE"/>
              </w:rPr>
              <w:t>Jan Vanlangenhove</w:t>
            </w:r>
          </w:p>
          <w:p w:rsidR="00EE4EAC" w:rsidRPr="00C83428" w:rsidRDefault="0027053F" w:rsidP="00EE4EAC">
            <w:pPr>
              <w:rPr>
                <w:sz w:val="20"/>
                <w:szCs w:val="20"/>
                <w:lang w:val="nl-BE"/>
              </w:rPr>
            </w:pPr>
            <w:r>
              <w:rPr>
                <w:sz w:val="20"/>
                <w:szCs w:val="20"/>
                <w:lang w:val="nl-BE"/>
              </w:rPr>
              <w:t>algemeen directeur</w:t>
            </w:r>
          </w:p>
        </w:tc>
        <w:tc>
          <w:tcPr>
            <w:tcW w:w="3260" w:type="dxa"/>
          </w:tcPr>
          <w:p w:rsidR="00EE4EAC" w:rsidRPr="00C83428" w:rsidRDefault="00EE4EAC" w:rsidP="00EE4EAC">
            <w:pPr>
              <w:rPr>
                <w:sz w:val="20"/>
                <w:szCs w:val="20"/>
                <w:lang w:val="nl-BE"/>
              </w:rPr>
            </w:pPr>
          </w:p>
        </w:tc>
        <w:tc>
          <w:tcPr>
            <w:tcW w:w="3260" w:type="dxa"/>
          </w:tcPr>
          <w:p w:rsidR="00EE4EAC" w:rsidRPr="00C83428" w:rsidRDefault="0027053F" w:rsidP="00EE4EAC">
            <w:pPr>
              <w:rPr>
                <w:sz w:val="20"/>
                <w:szCs w:val="20"/>
                <w:lang w:val="nl-BE"/>
              </w:rPr>
            </w:pPr>
            <w:r w:rsidRPr="00C83428">
              <w:rPr>
                <w:sz w:val="20"/>
                <w:szCs w:val="20"/>
                <w:lang w:val="nl-BE"/>
              </w:rPr>
              <w:t xml:space="preserve">(get.) </w:t>
            </w:r>
            <w:r w:rsidR="00CA791E">
              <w:rPr>
                <w:sz w:val="20"/>
                <w:szCs w:val="20"/>
                <w:lang w:val="nl-BE"/>
              </w:rPr>
              <w:t>Dirk Desmet</w:t>
            </w:r>
          </w:p>
          <w:p w:rsidR="00EE4EAC" w:rsidRPr="00C83428" w:rsidRDefault="0027053F" w:rsidP="00EE4EAC">
            <w:pPr>
              <w:rPr>
                <w:sz w:val="20"/>
                <w:szCs w:val="20"/>
                <w:lang w:val="nl-BE"/>
              </w:rPr>
            </w:pPr>
            <w:r>
              <w:rPr>
                <w:sz w:val="20"/>
                <w:szCs w:val="20"/>
                <w:lang w:val="nl-BE"/>
              </w:rPr>
              <w:t>voorzitter</w:t>
            </w:r>
          </w:p>
        </w:tc>
      </w:tr>
      <w:tr w:rsidR="00592A51" w:rsidTr="00EE4EAC">
        <w:tc>
          <w:tcPr>
            <w:tcW w:w="3259" w:type="dxa"/>
          </w:tcPr>
          <w:p w:rsidR="00EE4EAC" w:rsidRPr="00C83428" w:rsidRDefault="00EE4EAC" w:rsidP="00EE4EAC">
            <w:pPr>
              <w:rPr>
                <w:sz w:val="20"/>
                <w:szCs w:val="20"/>
                <w:lang w:val="nl-BE"/>
              </w:rPr>
            </w:pPr>
          </w:p>
        </w:tc>
        <w:tc>
          <w:tcPr>
            <w:tcW w:w="3260" w:type="dxa"/>
          </w:tcPr>
          <w:p w:rsidR="00EE4EAC" w:rsidRPr="00C83428" w:rsidRDefault="0027053F" w:rsidP="00EE4EAC">
            <w:pPr>
              <w:rPr>
                <w:sz w:val="20"/>
                <w:szCs w:val="20"/>
                <w:lang w:val="nl-BE"/>
              </w:rPr>
            </w:pPr>
            <w:r w:rsidRPr="00C83428">
              <w:rPr>
                <w:sz w:val="20"/>
                <w:szCs w:val="20"/>
                <w:lang w:val="nl-BE"/>
              </w:rPr>
              <w:t>Voor eensluidend afschrift,</w:t>
            </w:r>
          </w:p>
          <w:p w:rsidR="00EE4EAC" w:rsidRPr="00C83428" w:rsidRDefault="0027053F" w:rsidP="00EE4EAC">
            <w:pPr>
              <w:rPr>
                <w:sz w:val="20"/>
                <w:szCs w:val="20"/>
                <w:lang w:val="nl-BE"/>
              </w:rPr>
            </w:pPr>
            <w:r w:rsidRPr="00C83428">
              <w:rPr>
                <w:sz w:val="20"/>
                <w:szCs w:val="20"/>
                <w:lang w:val="nl-BE"/>
              </w:rPr>
              <w:t>Zwevegem,</w:t>
            </w:r>
            <w:r w:rsidR="00D62F91" w:rsidRPr="00C83428">
              <w:rPr>
                <w:sz w:val="20"/>
                <w:szCs w:val="20"/>
                <w:lang w:val="nl-BE"/>
              </w:rPr>
              <w:t xml:space="preserve"> </w:t>
            </w:r>
            <w:r w:rsidR="00C620BB" w:rsidRPr="00C83428">
              <w:rPr>
                <w:sz w:val="20"/>
                <w:szCs w:val="20"/>
                <w:lang w:val="nl-BE"/>
              </w:rPr>
              <w:fldChar w:fldCharType="begin"/>
            </w:r>
            <w:r w:rsidR="00D62F91" w:rsidRPr="00C83428">
              <w:rPr>
                <w:sz w:val="20"/>
                <w:szCs w:val="20"/>
                <w:lang w:val="nl-BE"/>
              </w:rPr>
              <w:instrText xml:space="preserve"> DATE  \@ "d MMMM yyyy"  \* MERGEFORMAT </w:instrText>
            </w:r>
            <w:r w:rsidR="00C620BB" w:rsidRPr="00C83428">
              <w:rPr>
                <w:sz w:val="20"/>
                <w:szCs w:val="20"/>
                <w:lang w:val="nl-BE"/>
              </w:rPr>
              <w:fldChar w:fldCharType="separate"/>
            </w:r>
            <w:r w:rsidR="00C24604">
              <w:rPr>
                <w:noProof/>
                <w:sz w:val="20"/>
                <w:szCs w:val="20"/>
                <w:lang w:val="nl-BE"/>
              </w:rPr>
              <w:t>6 februari 2020</w:t>
            </w:r>
            <w:r w:rsidR="00C620BB" w:rsidRPr="00C83428">
              <w:rPr>
                <w:sz w:val="20"/>
                <w:szCs w:val="20"/>
                <w:lang w:val="nl-BE"/>
              </w:rPr>
              <w:fldChar w:fldCharType="end"/>
            </w:r>
          </w:p>
        </w:tc>
        <w:tc>
          <w:tcPr>
            <w:tcW w:w="3260" w:type="dxa"/>
          </w:tcPr>
          <w:p w:rsidR="00EE4EAC" w:rsidRPr="00C83428" w:rsidRDefault="00EE4EAC" w:rsidP="00EE4EAC">
            <w:pPr>
              <w:rPr>
                <w:sz w:val="20"/>
                <w:szCs w:val="20"/>
                <w:lang w:val="nl-BE"/>
              </w:rPr>
            </w:pPr>
          </w:p>
        </w:tc>
      </w:tr>
      <w:tr w:rsidR="00592A51" w:rsidTr="00EE4EAC">
        <w:tc>
          <w:tcPr>
            <w:tcW w:w="3259" w:type="dxa"/>
          </w:tcPr>
          <w:p w:rsidR="00EE4EAC" w:rsidRPr="00C83428" w:rsidRDefault="0027053F" w:rsidP="00EE4EAC">
            <w:pPr>
              <w:rPr>
                <w:sz w:val="20"/>
                <w:szCs w:val="20"/>
                <w:lang w:val="nl-BE"/>
              </w:rPr>
            </w:pPr>
            <w:r>
              <w:rPr>
                <w:sz w:val="20"/>
                <w:szCs w:val="20"/>
                <w:lang w:val="nl-BE"/>
              </w:rPr>
              <w:t>Jan Vanlangenhove</w:t>
            </w:r>
          </w:p>
        </w:tc>
        <w:tc>
          <w:tcPr>
            <w:tcW w:w="3260" w:type="dxa"/>
          </w:tcPr>
          <w:p w:rsidR="00EE4EAC" w:rsidRPr="00C83428" w:rsidRDefault="00EE4EAC" w:rsidP="00EE4EAC">
            <w:pPr>
              <w:rPr>
                <w:sz w:val="20"/>
                <w:szCs w:val="20"/>
                <w:lang w:val="nl-BE"/>
              </w:rPr>
            </w:pPr>
          </w:p>
        </w:tc>
        <w:tc>
          <w:tcPr>
            <w:tcW w:w="3260" w:type="dxa"/>
          </w:tcPr>
          <w:p w:rsidR="00EE4EAC" w:rsidRPr="00C83428" w:rsidRDefault="0027053F" w:rsidP="00EE4EAC">
            <w:pPr>
              <w:rPr>
                <w:sz w:val="20"/>
                <w:szCs w:val="20"/>
                <w:lang w:val="nl-BE"/>
              </w:rPr>
            </w:pPr>
            <w:r>
              <w:rPr>
                <w:sz w:val="20"/>
                <w:szCs w:val="20"/>
                <w:lang w:val="nl-BE"/>
              </w:rPr>
              <w:t>Dirk Desmet</w:t>
            </w:r>
          </w:p>
        </w:tc>
      </w:tr>
      <w:tr w:rsidR="00592A51" w:rsidTr="00EE4EAC">
        <w:tc>
          <w:tcPr>
            <w:tcW w:w="3259" w:type="dxa"/>
          </w:tcPr>
          <w:p w:rsidR="00EE4EAC" w:rsidRPr="00C83428" w:rsidRDefault="0027053F" w:rsidP="00EE4EAC">
            <w:pPr>
              <w:rPr>
                <w:sz w:val="20"/>
                <w:szCs w:val="20"/>
                <w:lang w:val="nl-BE"/>
              </w:rPr>
            </w:pPr>
            <w:r>
              <w:rPr>
                <w:sz w:val="20"/>
                <w:szCs w:val="20"/>
                <w:lang w:val="nl-BE"/>
              </w:rPr>
              <w:t>algemeen directeur</w:t>
            </w:r>
          </w:p>
        </w:tc>
        <w:tc>
          <w:tcPr>
            <w:tcW w:w="3260" w:type="dxa"/>
          </w:tcPr>
          <w:p w:rsidR="00EE4EAC" w:rsidRPr="00C83428" w:rsidRDefault="00EE4EAC" w:rsidP="00EE4EAC">
            <w:pPr>
              <w:rPr>
                <w:sz w:val="20"/>
                <w:szCs w:val="20"/>
                <w:lang w:val="nl-BE"/>
              </w:rPr>
            </w:pPr>
          </w:p>
        </w:tc>
        <w:tc>
          <w:tcPr>
            <w:tcW w:w="3260" w:type="dxa"/>
          </w:tcPr>
          <w:p w:rsidR="00EE4EAC" w:rsidRPr="00C83428" w:rsidRDefault="0027053F" w:rsidP="00EE4EAC">
            <w:pPr>
              <w:rPr>
                <w:sz w:val="20"/>
                <w:szCs w:val="20"/>
                <w:lang w:val="nl-BE"/>
              </w:rPr>
            </w:pPr>
            <w:r>
              <w:rPr>
                <w:sz w:val="20"/>
                <w:szCs w:val="20"/>
                <w:lang w:val="nl-BE"/>
              </w:rPr>
              <w:t>voorzitter</w:t>
            </w:r>
          </w:p>
        </w:tc>
      </w:tr>
    </w:tbl>
    <w:p w:rsidR="00EE4EAC" w:rsidRPr="00C83428" w:rsidRDefault="00EE4EAC" w:rsidP="00C83428">
      <w:pPr>
        <w:rPr>
          <w:sz w:val="20"/>
          <w:szCs w:val="20"/>
          <w:lang w:val="nl-BE"/>
        </w:rPr>
      </w:pPr>
    </w:p>
    <w:sectPr w:rsidR="00EE4EAC" w:rsidRPr="00C83428" w:rsidSect="005861D4">
      <w:type w:val="continuous"/>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224E0"/>
    <w:multiLevelType w:val="singleLevel"/>
    <w:tmpl w:val="BCA46ED4"/>
    <w:lvl w:ilvl="0">
      <w:start w:val="1"/>
      <w:numFmt w:val="decimal"/>
      <w:lvlText w:val="%1."/>
      <w:legacy w:legacy="1" w:legacySpace="0" w:legacyIndent="283"/>
      <w:lvlJc w:val="left"/>
      <w:pPr>
        <w:ind w:left="283" w:hanging="283"/>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AB"/>
    <w:rsid w:val="000131F7"/>
    <w:rsid w:val="00026D97"/>
    <w:rsid w:val="00054F4A"/>
    <w:rsid w:val="000E09B2"/>
    <w:rsid w:val="00105543"/>
    <w:rsid w:val="00133F03"/>
    <w:rsid w:val="0014189A"/>
    <w:rsid w:val="00152BF7"/>
    <w:rsid w:val="00170152"/>
    <w:rsid w:val="00185AFA"/>
    <w:rsid w:val="001C2C3B"/>
    <w:rsid w:val="001D4131"/>
    <w:rsid w:val="001F5245"/>
    <w:rsid w:val="00207B9A"/>
    <w:rsid w:val="00221716"/>
    <w:rsid w:val="002257E2"/>
    <w:rsid w:val="0025093F"/>
    <w:rsid w:val="0027053F"/>
    <w:rsid w:val="002A192C"/>
    <w:rsid w:val="002C053A"/>
    <w:rsid w:val="002D26B9"/>
    <w:rsid w:val="0030554B"/>
    <w:rsid w:val="00332F81"/>
    <w:rsid w:val="00360036"/>
    <w:rsid w:val="003810FA"/>
    <w:rsid w:val="003B582C"/>
    <w:rsid w:val="003C0536"/>
    <w:rsid w:val="00445809"/>
    <w:rsid w:val="00476C8F"/>
    <w:rsid w:val="004F0595"/>
    <w:rsid w:val="00517D9B"/>
    <w:rsid w:val="00525E00"/>
    <w:rsid w:val="0052658D"/>
    <w:rsid w:val="00535283"/>
    <w:rsid w:val="005533B5"/>
    <w:rsid w:val="00584F86"/>
    <w:rsid w:val="005861D4"/>
    <w:rsid w:val="00592A51"/>
    <w:rsid w:val="00615AC0"/>
    <w:rsid w:val="00622A04"/>
    <w:rsid w:val="00664819"/>
    <w:rsid w:val="006B25BB"/>
    <w:rsid w:val="006B2FF0"/>
    <w:rsid w:val="007222CA"/>
    <w:rsid w:val="00724709"/>
    <w:rsid w:val="007272A6"/>
    <w:rsid w:val="00743EA2"/>
    <w:rsid w:val="00755283"/>
    <w:rsid w:val="00763A1C"/>
    <w:rsid w:val="007B2B9C"/>
    <w:rsid w:val="007B4EC0"/>
    <w:rsid w:val="007E4C63"/>
    <w:rsid w:val="007F60FE"/>
    <w:rsid w:val="008073BA"/>
    <w:rsid w:val="008417AB"/>
    <w:rsid w:val="00897F0E"/>
    <w:rsid w:val="00980A94"/>
    <w:rsid w:val="00987FBD"/>
    <w:rsid w:val="009B7334"/>
    <w:rsid w:val="009E67EA"/>
    <w:rsid w:val="009E6AE8"/>
    <w:rsid w:val="00A03654"/>
    <w:rsid w:val="00A75071"/>
    <w:rsid w:val="00B154BA"/>
    <w:rsid w:val="00B22FA8"/>
    <w:rsid w:val="00B61AD0"/>
    <w:rsid w:val="00B720F0"/>
    <w:rsid w:val="00B96094"/>
    <w:rsid w:val="00C12431"/>
    <w:rsid w:val="00C24604"/>
    <w:rsid w:val="00C421A7"/>
    <w:rsid w:val="00C620BB"/>
    <w:rsid w:val="00C80506"/>
    <w:rsid w:val="00C83428"/>
    <w:rsid w:val="00C9625D"/>
    <w:rsid w:val="00CA791E"/>
    <w:rsid w:val="00D0038D"/>
    <w:rsid w:val="00D050F1"/>
    <w:rsid w:val="00D62F91"/>
    <w:rsid w:val="00D96D81"/>
    <w:rsid w:val="00DF2B48"/>
    <w:rsid w:val="00E077A8"/>
    <w:rsid w:val="00E412F4"/>
    <w:rsid w:val="00E87BD9"/>
    <w:rsid w:val="00EE4EAC"/>
    <w:rsid w:val="00EE7C2F"/>
    <w:rsid w:val="00F2385F"/>
    <w:rsid w:val="00F26380"/>
    <w:rsid w:val="00FB51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0406D-93B6-44F2-ACCA-7F94FFB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658D"/>
    <w:pPr>
      <w:spacing w:after="0" w:line="312" w:lineRule="auto"/>
    </w:pPr>
  </w:style>
  <w:style w:type="paragraph" w:styleId="Kop1">
    <w:name w:val="heading 1"/>
    <w:basedOn w:val="Standaard"/>
    <w:next w:val="Standaard"/>
    <w:link w:val="Kop1Char"/>
    <w:uiPriority w:val="9"/>
    <w:qFormat/>
    <w:rsid w:val="00E077A8"/>
    <w:pPr>
      <w:keepNext/>
      <w:keepLines/>
      <w:spacing w:before="480"/>
      <w:outlineLvl w:val="0"/>
    </w:pPr>
    <w:rPr>
      <w:rFonts w:asciiTheme="majorHAnsi" w:eastAsiaTheme="majorEastAsia" w:hAnsiTheme="majorHAnsi" w:cstheme="majorBidi"/>
      <w:b/>
      <w:bCs/>
      <w:color w:val="DC0032"/>
      <w:sz w:val="28"/>
      <w:szCs w:val="28"/>
    </w:rPr>
  </w:style>
  <w:style w:type="paragraph" w:styleId="Kop2">
    <w:name w:val="heading 2"/>
    <w:basedOn w:val="Standaard"/>
    <w:next w:val="Standaard"/>
    <w:link w:val="Kop2Char"/>
    <w:uiPriority w:val="9"/>
    <w:unhideWhenUsed/>
    <w:qFormat/>
    <w:rsid w:val="00E077A8"/>
    <w:pPr>
      <w:keepNext/>
      <w:keepLines/>
      <w:spacing w:before="200"/>
      <w:outlineLvl w:val="1"/>
    </w:pPr>
    <w:rPr>
      <w:rFonts w:asciiTheme="majorHAnsi" w:eastAsiaTheme="majorEastAsia" w:hAnsiTheme="majorHAnsi" w:cstheme="majorBidi"/>
      <w:b/>
      <w:bCs/>
      <w:color w:val="DC0032" w:themeColor="accent1"/>
      <w:sz w:val="26"/>
      <w:szCs w:val="26"/>
    </w:rPr>
  </w:style>
  <w:style w:type="paragraph" w:styleId="Kop3">
    <w:name w:val="heading 3"/>
    <w:basedOn w:val="Standaard"/>
    <w:next w:val="Standaard"/>
    <w:link w:val="Kop3Char"/>
    <w:uiPriority w:val="9"/>
    <w:unhideWhenUsed/>
    <w:qFormat/>
    <w:rsid w:val="00E077A8"/>
    <w:pPr>
      <w:keepNext/>
      <w:keepLines/>
      <w:spacing w:before="200"/>
      <w:outlineLvl w:val="2"/>
    </w:pPr>
    <w:rPr>
      <w:rFonts w:asciiTheme="majorHAnsi" w:eastAsiaTheme="majorEastAsia" w:hAnsiTheme="majorHAnsi" w:cstheme="majorBidi"/>
      <w:b/>
      <w:bCs/>
      <w:color w:val="DC0032" w:themeColor="accent1"/>
    </w:rPr>
  </w:style>
  <w:style w:type="paragraph" w:styleId="Kop4">
    <w:name w:val="heading 4"/>
    <w:basedOn w:val="Standaard"/>
    <w:next w:val="Standaard"/>
    <w:link w:val="Kop4Char"/>
    <w:uiPriority w:val="9"/>
    <w:unhideWhenUsed/>
    <w:qFormat/>
    <w:rsid w:val="00E077A8"/>
    <w:pPr>
      <w:keepNext/>
      <w:keepLines/>
      <w:spacing w:before="200"/>
      <w:outlineLvl w:val="3"/>
    </w:pPr>
    <w:rPr>
      <w:rFonts w:asciiTheme="majorHAnsi" w:eastAsiaTheme="majorEastAsia" w:hAnsiTheme="majorHAnsi" w:cstheme="majorBidi"/>
      <w:b/>
      <w:bCs/>
      <w:i/>
      <w:iCs/>
      <w:color w:val="DC0032" w:themeColor="accent1"/>
    </w:rPr>
  </w:style>
  <w:style w:type="paragraph" w:styleId="Kop5">
    <w:name w:val="heading 5"/>
    <w:basedOn w:val="Standaard"/>
    <w:next w:val="Standaard"/>
    <w:link w:val="Kop5Char"/>
    <w:uiPriority w:val="9"/>
    <w:semiHidden/>
    <w:unhideWhenUsed/>
    <w:qFormat/>
    <w:rsid w:val="00E077A8"/>
    <w:pPr>
      <w:keepNext/>
      <w:keepLines/>
      <w:spacing w:before="200"/>
      <w:outlineLvl w:val="4"/>
    </w:pPr>
    <w:rPr>
      <w:rFonts w:asciiTheme="majorHAnsi" w:eastAsiaTheme="majorEastAsia" w:hAnsiTheme="majorHAnsi" w:cstheme="majorBidi"/>
      <w:color w:val="6D0018" w:themeColor="accent1" w:themeShade="7F"/>
    </w:rPr>
  </w:style>
  <w:style w:type="paragraph" w:styleId="Kop6">
    <w:name w:val="heading 6"/>
    <w:basedOn w:val="Standaard"/>
    <w:next w:val="Standaard"/>
    <w:link w:val="Kop6Char"/>
    <w:uiPriority w:val="9"/>
    <w:semiHidden/>
    <w:unhideWhenUsed/>
    <w:qFormat/>
    <w:rsid w:val="00E077A8"/>
    <w:pPr>
      <w:keepNext/>
      <w:keepLines/>
      <w:spacing w:before="200"/>
      <w:outlineLvl w:val="5"/>
    </w:pPr>
    <w:rPr>
      <w:rFonts w:asciiTheme="majorHAnsi" w:eastAsiaTheme="majorEastAsia" w:hAnsiTheme="majorHAnsi" w:cstheme="majorBidi"/>
      <w:i/>
      <w:iCs/>
      <w:color w:val="6D0018" w:themeColor="accent1" w:themeShade="7F"/>
    </w:rPr>
  </w:style>
  <w:style w:type="paragraph" w:styleId="Kop7">
    <w:name w:val="heading 7"/>
    <w:basedOn w:val="Standaard"/>
    <w:next w:val="Standaard"/>
    <w:link w:val="Kop7Char"/>
    <w:uiPriority w:val="9"/>
    <w:semiHidden/>
    <w:unhideWhenUsed/>
    <w:qFormat/>
    <w:rsid w:val="00E077A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077A8"/>
    <w:pPr>
      <w:keepNext/>
      <w:keepLines/>
      <w:spacing w:before="200"/>
      <w:outlineLvl w:val="7"/>
    </w:pPr>
    <w:rPr>
      <w:rFonts w:asciiTheme="majorHAnsi" w:eastAsiaTheme="majorEastAsia" w:hAnsiTheme="majorHAnsi" w:cstheme="majorBidi"/>
      <w:color w:val="DC0032" w:themeColor="accent1"/>
      <w:sz w:val="20"/>
      <w:szCs w:val="20"/>
    </w:rPr>
  </w:style>
  <w:style w:type="paragraph" w:styleId="Kop9">
    <w:name w:val="heading 9"/>
    <w:basedOn w:val="Standaard"/>
    <w:next w:val="Standaard"/>
    <w:link w:val="Kop9Char"/>
    <w:uiPriority w:val="9"/>
    <w:semiHidden/>
    <w:unhideWhenUsed/>
    <w:qFormat/>
    <w:rsid w:val="00E077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7A8"/>
    <w:rPr>
      <w:rFonts w:asciiTheme="majorHAnsi" w:eastAsiaTheme="majorEastAsia" w:hAnsiTheme="majorHAnsi" w:cstheme="majorBidi"/>
      <w:b/>
      <w:bCs/>
      <w:color w:val="DC0032"/>
      <w:sz w:val="28"/>
      <w:szCs w:val="28"/>
    </w:rPr>
  </w:style>
  <w:style w:type="character" w:customStyle="1" w:styleId="Kop2Char">
    <w:name w:val="Kop 2 Char"/>
    <w:basedOn w:val="Standaardalinea-lettertype"/>
    <w:link w:val="Kop2"/>
    <w:uiPriority w:val="9"/>
    <w:rsid w:val="00E077A8"/>
    <w:rPr>
      <w:rFonts w:asciiTheme="majorHAnsi" w:eastAsiaTheme="majorEastAsia" w:hAnsiTheme="majorHAnsi" w:cstheme="majorBidi"/>
      <w:b/>
      <w:bCs/>
      <w:color w:val="DC0032" w:themeColor="accent1"/>
      <w:sz w:val="26"/>
      <w:szCs w:val="26"/>
    </w:rPr>
  </w:style>
  <w:style w:type="character" w:customStyle="1" w:styleId="Kop3Char">
    <w:name w:val="Kop 3 Char"/>
    <w:basedOn w:val="Standaardalinea-lettertype"/>
    <w:link w:val="Kop3"/>
    <w:uiPriority w:val="9"/>
    <w:rsid w:val="00E077A8"/>
    <w:rPr>
      <w:rFonts w:asciiTheme="majorHAnsi" w:eastAsiaTheme="majorEastAsia" w:hAnsiTheme="majorHAnsi" w:cstheme="majorBidi"/>
      <w:b/>
      <w:bCs/>
      <w:color w:val="DC0032" w:themeColor="accent1"/>
    </w:rPr>
  </w:style>
  <w:style w:type="character" w:customStyle="1" w:styleId="Kop4Char">
    <w:name w:val="Kop 4 Char"/>
    <w:basedOn w:val="Standaardalinea-lettertype"/>
    <w:link w:val="Kop4"/>
    <w:uiPriority w:val="9"/>
    <w:rsid w:val="00E077A8"/>
    <w:rPr>
      <w:rFonts w:asciiTheme="majorHAnsi" w:eastAsiaTheme="majorEastAsia" w:hAnsiTheme="majorHAnsi" w:cstheme="majorBidi"/>
      <w:b/>
      <w:bCs/>
      <w:i/>
      <w:iCs/>
      <w:color w:val="DC0032" w:themeColor="accent1"/>
    </w:rPr>
  </w:style>
  <w:style w:type="character" w:customStyle="1" w:styleId="Kop5Char">
    <w:name w:val="Kop 5 Char"/>
    <w:basedOn w:val="Standaardalinea-lettertype"/>
    <w:link w:val="Kop5"/>
    <w:uiPriority w:val="9"/>
    <w:rsid w:val="00E077A8"/>
    <w:rPr>
      <w:rFonts w:asciiTheme="majorHAnsi" w:eastAsiaTheme="majorEastAsia" w:hAnsiTheme="majorHAnsi" w:cstheme="majorBidi"/>
      <w:color w:val="6D0018" w:themeColor="accent1" w:themeShade="7F"/>
    </w:rPr>
  </w:style>
  <w:style w:type="character" w:customStyle="1" w:styleId="Kop6Char">
    <w:name w:val="Kop 6 Char"/>
    <w:basedOn w:val="Standaardalinea-lettertype"/>
    <w:link w:val="Kop6"/>
    <w:uiPriority w:val="9"/>
    <w:rsid w:val="00E077A8"/>
    <w:rPr>
      <w:rFonts w:asciiTheme="majorHAnsi" w:eastAsiaTheme="majorEastAsia" w:hAnsiTheme="majorHAnsi" w:cstheme="majorBidi"/>
      <w:i/>
      <w:iCs/>
      <w:color w:val="6D0018" w:themeColor="accent1" w:themeShade="7F"/>
    </w:rPr>
  </w:style>
  <w:style w:type="character" w:customStyle="1" w:styleId="Kop7Char">
    <w:name w:val="Kop 7 Char"/>
    <w:basedOn w:val="Standaardalinea-lettertype"/>
    <w:link w:val="Kop7"/>
    <w:uiPriority w:val="9"/>
    <w:rsid w:val="00E077A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077A8"/>
    <w:rPr>
      <w:rFonts w:asciiTheme="majorHAnsi" w:eastAsiaTheme="majorEastAsia" w:hAnsiTheme="majorHAnsi" w:cstheme="majorBidi"/>
      <w:color w:val="DC0032" w:themeColor="accent1"/>
      <w:sz w:val="20"/>
      <w:szCs w:val="20"/>
    </w:rPr>
  </w:style>
  <w:style w:type="character" w:customStyle="1" w:styleId="Kop9Char">
    <w:name w:val="Kop 9 Char"/>
    <w:basedOn w:val="Standaardalinea-lettertype"/>
    <w:link w:val="Kop9"/>
    <w:uiPriority w:val="9"/>
    <w:rsid w:val="00E077A8"/>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E077A8"/>
    <w:pPr>
      <w:pBdr>
        <w:bottom w:val="single" w:sz="8" w:space="4" w:color="DC0032" w:themeColor="accent1"/>
      </w:pBdr>
      <w:spacing w:after="300" w:line="240" w:lineRule="auto"/>
      <w:contextualSpacing/>
    </w:pPr>
    <w:rPr>
      <w:rFonts w:asciiTheme="majorHAnsi" w:eastAsiaTheme="majorEastAsia" w:hAnsiTheme="majorHAnsi" w:cstheme="majorBidi"/>
      <w:color w:val="DC0032"/>
      <w:spacing w:val="5"/>
      <w:kern w:val="28"/>
      <w:sz w:val="52"/>
      <w:szCs w:val="52"/>
    </w:rPr>
  </w:style>
  <w:style w:type="character" w:customStyle="1" w:styleId="TitelChar">
    <w:name w:val="Titel Char"/>
    <w:basedOn w:val="Standaardalinea-lettertype"/>
    <w:link w:val="Titel"/>
    <w:uiPriority w:val="10"/>
    <w:rsid w:val="00E077A8"/>
    <w:rPr>
      <w:rFonts w:asciiTheme="majorHAnsi" w:eastAsiaTheme="majorEastAsia" w:hAnsiTheme="majorHAnsi" w:cstheme="majorBidi"/>
      <w:color w:val="DC0032"/>
      <w:spacing w:val="5"/>
      <w:kern w:val="28"/>
      <w:sz w:val="52"/>
      <w:szCs w:val="52"/>
    </w:rPr>
  </w:style>
  <w:style w:type="paragraph" w:styleId="Ondertitel">
    <w:name w:val="Subtitle"/>
    <w:basedOn w:val="Standaard"/>
    <w:next w:val="Standaard"/>
    <w:link w:val="OndertitelChar"/>
    <w:uiPriority w:val="11"/>
    <w:qFormat/>
    <w:rsid w:val="00E077A8"/>
    <w:pPr>
      <w:numPr>
        <w:ilvl w:val="1"/>
      </w:numPr>
    </w:pPr>
    <w:rPr>
      <w:rFonts w:asciiTheme="majorHAnsi" w:eastAsiaTheme="majorEastAsia" w:hAnsiTheme="majorHAnsi" w:cstheme="majorBidi"/>
      <w:i/>
      <w:iCs/>
      <w:color w:val="DC0032" w:themeColor="accent1"/>
      <w:spacing w:val="15"/>
      <w:sz w:val="24"/>
      <w:szCs w:val="24"/>
    </w:rPr>
  </w:style>
  <w:style w:type="character" w:customStyle="1" w:styleId="OndertitelChar">
    <w:name w:val="Ondertitel Char"/>
    <w:basedOn w:val="Standaardalinea-lettertype"/>
    <w:link w:val="Ondertitel"/>
    <w:uiPriority w:val="11"/>
    <w:rsid w:val="00E077A8"/>
    <w:rPr>
      <w:rFonts w:asciiTheme="majorHAnsi" w:eastAsiaTheme="majorEastAsia" w:hAnsiTheme="majorHAnsi" w:cstheme="majorBidi"/>
      <w:i/>
      <w:iCs/>
      <w:color w:val="DC0032" w:themeColor="accent1"/>
      <w:spacing w:val="15"/>
      <w:sz w:val="24"/>
      <w:szCs w:val="24"/>
    </w:rPr>
  </w:style>
  <w:style w:type="character" w:styleId="Zwaar">
    <w:name w:val="Strong"/>
    <w:basedOn w:val="Standaardalinea-lettertype"/>
    <w:uiPriority w:val="22"/>
    <w:qFormat/>
    <w:rsid w:val="00E077A8"/>
    <w:rPr>
      <w:b/>
      <w:bCs/>
    </w:rPr>
  </w:style>
  <w:style w:type="character" w:styleId="Nadruk">
    <w:name w:val="Emphasis"/>
    <w:basedOn w:val="Standaardalinea-lettertype"/>
    <w:uiPriority w:val="20"/>
    <w:qFormat/>
    <w:rsid w:val="00E077A8"/>
    <w:rPr>
      <w:i/>
      <w:iCs/>
    </w:rPr>
  </w:style>
  <w:style w:type="paragraph" w:styleId="Geenafstand">
    <w:name w:val="No Spacing"/>
    <w:link w:val="GeenafstandChar"/>
    <w:uiPriority w:val="1"/>
    <w:qFormat/>
    <w:rsid w:val="00E077A8"/>
    <w:pPr>
      <w:spacing w:after="0" w:line="240" w:lineRule="auto"/>
    </w:pPr>
  </w:style>
  <w:style w:type="paragraph" w:styleId="Lijstalinea">
    <w:name w:val="List Paragraph"/>
    <w:basedOn w:val="Standaard"/>
    <w:uiPriority w:val="34"/>
    <w:qFormat/>
    <w:rsid w:val="00E077A8"/>
    <w:pPr>
      <w:ind w:left="720"/>
      <w:contextualSpacing/>
    </w:pPr>
  </w:style>
  <w:style w:type="paragraph" w:styleId="Citaat">
    <w:name w:val="Quote"/>
    <w:basedOn w:val="Standaard"/>
    <w:next w:val="Standaard"/>
    <w:link w:val="CitaatChar"/>
    <w:uiPriority w:val="29"/>
    <w:qFormat/>
    <w:rsid w:val="00E077A8"/>
    <w:rPr>
      <w:i/>
      <w:iCs/>
      <w:color w:val="000000" w:themeColor="text1"/>
    </w:rPr>
  </w:style>
  <w:style w:type="character" w:customStyle="1" w:styleId="CitaatChar">
    <w:name w:val="Citaat Char"/>
    <w:basedOn w:val="Standaardalinea-lettertype"/>
    <w:link w:val="Citaat"/>
    <w:uiPriority w:val="29"/>
    <w:rsid w:val="00E077A8"/>
    <w:rPr>
      <w:i/>
      <w:iCs/>
      <w:color w:val="000000" w:themeColor="text1"/>
    </w:rPr>
  </w:style>
  <w:style w:type="paragraph" w:styleId="Duidelijkcitaat">
    <w:name w:val="Intense Quote"/>
    <w:basedOn w:val="Standaard"/>
    <w:next w:val="Standaard"/>
    <w:link w:val="DuidelijkcitaatChar"/>
    <w:uiPriority w:val="30"/>
    <w:qFormat/>
    <w:rsid w:val="00E077A8"/>
    <w:pPr>
      <w:pBdr>
        <w:bottom w:val="single" w:sz="4" w:space="4" w:color="DC0032" w:themeColor="accent1"/>
      </w:pBdr>
      <w:spacing w:before="200" w:after="280"/>
      <w:ind w:left="936" w:right="936"/>
    </w:pPr>
    <w:rPr>
      <w:b/>
      <w:bCs/>
      <w:i/>
      <w:iCs/>
      <w:color w:val="DC0032" w:themeColor="accent1"/>
    </w:rPr>
  </w:style>
  <w:style w:type="character" w:customStyle="1" w:styleId="DuidelijkcitaatChar">
    <w:name w:val="Duidelijk citaat Char"/>
    <w:basedOn w:val="Standaardalinea-lettertype"/>
    <w:link w:val="Duidelijkcitaat"/>
    <w:uiPriority w:val="30"/>
    <w:rsid w:val="00E077A8"/>
    <w:rPr>
      <w:b/>
      <w:bCs/>
      <w:i/>
      <w:iCs/>
      <w:color w:val="DC0032" w:themeColor="accent1"/>
    </w:rPr>
  </w:style>
  <w:style w:type="character" w:styleId="Subtielebenadrukking">
    <w:name w:val="Subtle Emphasis"/>
    <w:basedOn w:val="Standaardalinea-lettertype"/>
    <w:uiPriority w:val="19"/>
    <w:qFormat/>
    <w:rsid w:val="00E077A8"/>
    <w:rPr>
      <w:i/>
      <w:iCs/>
      <w:color w:val="808080" w:themeColor="text1" w:themeTint="7F"/>
    </w:rPr>
  </w:style>
  <w:style w:type="character" w:styleId="Intensievebenadrukking">
    <w:name w:val="Intense Emphasis"/>
    <w:basedOn w:val="Standaardalinea-lettertype"/>
    <w:uiPriority w:val="21"/>
    <w:qFormat/>
    <w:rsid w:val="00E077A8"/>
    <w:rPr>
      <w:b/>
      <w:bCs/>
      <w:i/>
      <w:iCs/>
      <w:color w:val="DC0032" w:themeColor="accent1"/>
    </w:rPr>
  </w:style>
  <w:style w:type="character" w:styleId="Subtieleverwijzing">
    <w:name w:val="Subtle Reference"/>
    <w:basedOn w:val="Standaardalinea-lettertype"/>
    <w:uiPriority w:val="31"/>
    <w:qFormat/>
    <w:rsid w:val="00E077A8"/>
    <w:rPr>
      <w:smallCaps/>
      <w:color w:val="DC0032"/>
      <w:u w:val="single"/>
    </w:rPr>
  </w:style>
  <w:style w:type="character" w:styleId="Intensieveverwijzing">
    <w:name w:val="Intense Reference"/>
    <w:basedOn w:val="Standaardalinea-lettertype"/>
    <w:uiPriority w:val="32"/>
    <w:qFormat/>
    <w:rsid w:val="00E077A8"/>
    <w:rPr>
      <w:b/>
      <w:bCs/>
      <w:smallCaps/>
      <w:color w:val="DC0032"/>
      <w:spacing w:val="5"/>
      <w:u w:val="single"/>
    </w:rPr>
  </w:style>
  <w:style w:type="character" w:styleId="Titelvanboek">
    <w:name w:val="Book Title"/>
    <w:basedOn w:val="Standaardalinea-lettertype"/>
    <w:uiPriority w:val="33"/>
    <w:qFormat/>
    <w:rsid w:val="00E077A8"/>
    <w:rPr>
      <w:b/>
      <w:bCs/>
      <w:smallCaps/>
      <w:spacing w:val="5"/>
    </w:rPr>
  </w:style>
  <w:style w:type="paragraph" w:styleId="Kopvaninhoudsopgave">
    <w:name w:val="TOC Heading"/>
    <w:basedOn w:val="Kop1"/>
    <w:next w:val="Standaard"/>
    <w:uiPriority w:val="39"/>
    <w:semiHidden/>
    <w:unhideWhenUsed/>
    <w:qFormat/>
    <w:rsid w:val="00E077A8"/>
    <w:pPr>
      <w:outlineLvl w:val="9"/>
    </w:pPr>
  </w:style>
  <w:style w:type="paragraph" w:styleId="Bijschrift">
    <w:name w:val="caption"/>
    <w:basedOn w:val="Standaard"/>
    <w:next w:val="Standaard"/>
    <w:uiPriority w:val="35"/>
    <w:semiHidden/>
    <w:unhideWhenUsed/>
    <w:qFormat/>
    <w:rsid w:val="00E077A8"/>
    <w:pPr>
      <w:spacing w:line="240" w:lineRule="auto"/>
    </w:pPr>
    <w:rPr>
      <w:b/>
      <w:bCs/>
      <w:color w:val="DC0032" w:themeColor="accent1"/>
      <w:sz w:val="18"/>
      <w:szCs w:val="18"/>
    </w:rPr>
  </w:style>
  <w:style w:type="character" w:customStyle="1" w:styleId="GeenafstandChar">
    <w:name w:val="Geen afstand Char"/>
    <w:basedOn w:val="Standaardalinea-lettertype"/>
    <w:link w:val="Geenafstand"/>
    <w:uiPriority w:val="1"/>
    <w:rsid w:val="00E077A8"/>
  </w:style>
  <w:style w:type="table" w:styleId="Tabelraster">
    <w:name w:val="Table Grid"/>
    <w:basedOn w:val="Standaardtabel"/>
    <w:uiPriority w:val="59"/>
    <w:rsid w:val="00EE4E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D62F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Zwevegem2">
  <a:themeElements>
    <a:clrScheme name="Zwevegem_Kleuren">
      <a:dk1>
        <a:sysClr val="windowText" lastClr="000000"/>
      </a:dk1>
      <a:lt1>
        <a:srgbClr val="FFFFFF"/>
      </a:lt1>
      <a:dk2>
        <a:srgbClr val="BFBFBF"/>
      </a:dk2>
      <a:lt2>
        <a:srgbClr val="D8D8D8"/>
      </a:lt2>
      <a:accent1>
        <a:srgbClr val="DC0032"/>
      </a:accent1>
      <a:accent2>
        <a:srgbClr val="C0504D"/>
      </a:accent2>
      <a:accent3>
        <a:srgbClr val="9BBB59"/>
      </a:accent3>
      <a:accent4>
        <a:srgbClr val="8064A2"/>
      </a:accent4>
      <a:accent5>
        <a:srgbClr val="4BACC6"/>
      </a:accent5>
      <a:accent6>
        <a:srgbClr val="F79646"/>
      </a:accent6>
      <a:hlink>
        <a:srgbClr val="A51D30"/>
      </a:hlink>
      <a:folHlink>
        <a:srgbClr val="DC0032"/>
      </a:folHlink>
    </a:clrScheme>
    <a:fontScheme name="Zwevegem_Tahoma">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C58145F5.dotm</Template>
  <TotalTime>0</TotalTime>
  <Pages>3</Pages>
  <Words>1280</Words>
  <Characters>7045</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Velghe</dc:creator>
  <cp:lastModifiedBy>Vander Beken Liesbeth</cp:lastModifiedBy>
  <cp:revision>2</cp:revision>
  <cp:lastPrinted>2020-02-06T12:56:00Z</cp:lastPrinted>
  <dcterms:created xsi:type="dcterms:W3CDTF">2020-02-06T12:56:00Z</dcterms:created>
  <dcterms:modified xsi:type="dcterms:W3CDTF">2020-02-06T12:56:00Z</dcterms:modified>
</cp:coreProperties>
</file>